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B6B0C9">
      <w:pPr>
        <w:spacing w:line="480" w:lineRule="auto"/>
        <w:jc w:val="center"/>
        <w:rPr>
          <w:rFonts w:ascii="黑体" w:eastAsia="黑体"/>
          <w:b/>
          <w:bCs/>
          <w:sz w:val="36"/>
        </w:rPr>
      </w:pPr>
      <w:r>
        <w:rPr>
          <w:rFonts w:hint="eastAsia" w:ascii="黑体" w:eastAsia="黑体"/>
          <w:b/>
          <w:bCs/>
          <w:sz w:val="36"/>
        </w:rPr>
        <w:t>华东理工大学2025—20</w:t>
      </w:r>
      <w:r>
        <w:rPr>
          <w:rFonts w:ascii="黑体" w:eastAsia="黑体"/>
          <w:b/>
          <w:bCs/>
          <w:sz w:val="36"/>
        </w:rPr>
        <w:t>2</w:t>
      </w:r>
      <w:r>
        <w:rPr>
          <w:rFonts w:hint="eastAsia" w:ascii="黑体" w:eastAsia="黑体"/>
          <w:b/>
          <w:bCs/>
          <w:sz w:val="36"/>
        </w:rPr>
        <w:t>6学年第_1_学期</w:t>
      </w:r>
    </w:p>
    <w:p w14:paraId="1DA8C1C0">
      <w:pPr>
        <w:spacing w:line="480" w:lineRule="auto"/>
        <w:jc w:val="center"/>
      </w:pPr>
      <w:r>
        <w:rPr>
          <w:rFonts w:hint="eastAsia" w:ascii="黑体" w:eastAsia="黑体"/>
          <w:b/>
          <w:bCs/>
          <w:sz w:val="36"/>
        </w:rPr>
        <w:t>《 专业前沿讲座 》课程论文  2025.10</w:t>
      </w:r>
    </w:p>
    <w:p w14:paraId="6E1D9519"/>
    <w:p w14:paraId="7FEDE2AE">
      <w:pPr>
        <w:spacing w:line="720" w:lineRule="auto"/>
        <w:rPr>
          <w:sz w:val="28"/>
          <w:u w:val="single"/>
        </w:rPr>
      </w:pPr>
      <w:r>
        <w:rPr>
          <w:rFonts w:hint="eastAsia"/>
          <w:sz w:val="28"/>
        </w:rPr>
        <w:t xml:space="preserve">班级 </w:t>
      </w:r>
      <w:r>
        <w:rPr>
          <w:rFonts w:hint="eastAsia"/>
          <w:sz w:val="28"/>
          <w:u w:val="single"/>
        </w:rPr>
        <w:t xml:space="preserve">  智机试验2305   </w:t>
      </w:r>
      <w:r>
        <w:rPr>
          <w:rFonts w:hint="eastAsia"/>
          <w:sz w:val="28"/>
        </w:rPr>
        <w:t xml:space="preserve">   学号</w:t>
      </w:r>
      <w:r>
        <w:rPr>
          <w:rFonts w:hint="eastAsia"/>
          <w:sz w:val="28"/>
          <w:u w:val="single"/>
        </w:rPr>
        <w:t xml:space="preserve">  2301336</w:t>
      </w:r>
      <w:r>
        <w:rPr>
          <w:rFonts w:hint="eastAsia"/>
          <w:sz w:val="28"/>
          <w:u w:val="single"/>
          <w:lang w:val="en-US" w:eastAsia="zh-CN"/>
        </w:rPr>
        <w:t>1</w:t>
      </w:r>
      <w:r>
        <w:rPr>
          <w:rFonts w:hint="eastAsia"/>
          <w:sz w:val="28"/>
          <w:u w:val="single"/>
        </w:rPr>
        <w:t xml:space="preserve">  </w:t>
      </w:r>
      <w:r>
        <w:rPr>
          <w:rFonts w:hint="eastAsia"/>
          <w:sz w:val="28"/>
        </w:rPr>
        <w:t xml:space="preserve">   姓名</w:t>
      </w:r>
      <w:r>
        <w:rPr>
          <w:rFonts w:hint="eastAsia"/>
          <w:sz w:val="28"/>
          <w:u w:val="single"/>
        </w:rPr>
        <w:t xml:space="preserve">  </w:t>
      </w:r>
      <w:r>
        <w:rPr>
          <w:rFonts w:hint="eastAsia"/>
          <w:sz w:val="28"/>
          <w:u w:val="single"/>
          <w:lang w:val="en-US" w:eastAsia="zh-CN"/>
        </w:rPr>
        <w:t>宋文韬</w:t>
      </w:r>
      <w:r>
        <w:rPr>
          <w:rFonts w:hint="eastAsia"/>
          <w:sz w:val="28"/>
          <w:u w:val="single"/>
        </w:rPr>
        <w:t xml:space="preserve">             </w:t>
      </w:r>
    </w:p>
    <w:p w14:paraId="641E1E20">
      <w:pPr>
        <w:spacing w:line="720" w:lineRule="auto"/>
        <w:rPr>
          <w:sz w:val="28"/>
          <w:u w:val="single"/>
        </w:rPr>
      </w:pPr>
      <w:r>
        <w:rPr>
          <w:rFonts w:hint="eastAsia"/>
          <w:sz w:val="28"/>
        </w:rPr>
        <w:t>开课学院</w:t>
      </w:r>
      <w:r>
        <w:rPr>
          <w:rFonts w:hint="eastAsia"/>
          <w:sz w:val="28"/>
          <w:u w:val="single"/>
        </w:rPr>
        <w:t xml:space="preserve">  </w:t>
      </w:r>
      <w:r>
        <w:rPr>
          <w:rFonts w:hint="eastAsia"/>
          <w:sz w:val="28"/>
          <w:u w:val="single"/>
          <w:lang w:val="en-US" w:eastAsia="zh-CN"/>
        </w:rPr>
        <w:t>信息科学与工程学院</w:t>
      </w:r>
      <w:r>
        <w:rPr>
          <w:rFonts w:hint="eastAsia"/>
          <w:sz w:val="28"/>
          <w:u w:val="single"/>
        </w:rPr>
        <w:t xml:space="preserve">  </w:t>
      </w:r>
      <w:r>
        <w:rPr>
          <w:rFonts w:hint="eastAsia"/>
          <w:sz w:val="28"/>
        </w:rPr>
        <w:t xml:space="preserve">  任课教师</w:t>
      </w:r>
      <w:r>
        <w:rPr>
          <w:rFonts w:hint="eastAsia"/>
          <w:sz w:val="28"/>
          <w:u w:val="single"/>
        </w:rPr>
        <w:t xml:space="preserve">   宋冰    </w:t>
      </w:r>
      <w:r>
        <w:rPr>
          <w:rFonts w:hint="eastAsia"/>
          <w:sz w:val="28"/>
        </w:rPr>
        <w:t xml:space="preserve"> 成绩</w:t>
      </w:r>
      <w:r>
        <w:rPr>
          <w:rFonts w:hint="eastAsia"/>
          <w:sz w:val="28"/>
          <w:u w:val="single"/>
        </w:rPr>
        <w:t xml:space="preserve">           </w:t>
      </w:r>
    </w:p>
    <w:tbl>
      <w:tblPr>
        <w:tblStyle w:val="5"/>
        <w:tblW w:w="8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3"/>
      </w:tblGrid>
      <w:tr w14:paraId="4D09F546">
        <w:tc>
          <w:tcPr>
            <w:tcW w:w="8823" w:type="dxa"/>
          </w:tcPr>
          <w:p w14:paraId="7276A7A2">
            <w:pPr>
              <w:rPr>
                <w:sz w:val="28"/>
              </w:rPr>
            </w:pPr>
            <w:r>
              <w:rPr>
                <w:rFonts w:hint="eastAsia"/>
                <w:sz w:val="28"/>
              </w:rPr>
              <w:t>论文题目：</w:t>
            </w:r>
            <w:bookmarkStart w:id="0" w:name="OLE_LINK1"/>
            <w:r>
              <w:rPr>
                <w:rFonts w:hint="eastAsia"/>
                <w:sz w:val="28"/>
              </w:rPr>
              <w:t>对本专业相关技术发展的初步认识和体会</w:t>
            </w:r>
            <w:bookmarkEnd w:id="0"/>
          </w:p>
        </w:tc>
      </w:tr>
      <w:tr w14:paraId="47463FAE">
        <w:tc>
          <w:tcPr>
            <w:tcW w:w="8823" w:type="dxa"/>
          </w:tcPr>
          <w:p w14:paraId="12136F5A">
            <w:pPr>
              <w:rPr>
                <w:sz w:val="28"/>
              </w:rPr>
            </w:pPr>
            <w:r>
              <w:rPr>
                <w:rFonts w:hint="eastAsia"/>
                <w:sz w:val="28"/>
              </w:rPr>
              <w:t>论文要求：</w:t>
            </w:r>
          </w:p>
          <w:p w14:paraId="0EA378E9">
            <w:pPr>
              <w:ind w:firstLine="565" w:firstLineChars="202"/>
              <w:rPr>
                <w:sz w:val="28"/>
              </w:rPr>
            </w:pPr>
            <w:r>
              <w:rPr>
                <w:rFonts w:hint="eastAsia"/>
                <w:sz w:val="28"/>
              </w:rPr>
              <w:t>（1）结合本课程系列讲座的内容，通过查阅文献资料，谈谈你对本专业相关技术发展的认识和学习体会。</w:t>
            </w:r>
          </w:p>
          <w:p w14:paraId="30623260">
            <w:pPr>
              <w:ind w:firstLine="565" w:firstLineChars="202"/>
              <w:rPr>
                <w:sz w:val="28"/>
              </w:rPr>
            </w:pPr>
            <w:r>
              <w:rPr>
                <w:rFonts w:hint="eastAsia"/>
                <w:sz w:val="28"/>
              </w:rPr>
              <w:t>（2）论文内容结构完整，表述清晰。论文字数不少于3000字，格式参考华东理工大学学报。</w:t>
            </w:r>
          </w:p>
          <w:p w14:paraId="42335B66">
            <w:pPr>
              <w:ind w:firstLine="565" w:firstLineChars="202"/>
              <w:rPr>
                <w:sz w:val="28"/>
              </w:rPr>
            </w:pPr>
            <w:r>
              <w:rPr>
                <w:rFonts w:hint="eastAsia"/>
                <w:sz w:val="28"/>
              </w:rPr>
              <w:t>（3）每个学生独立完成，不得抄袭。</w:t>
            </w:r>
          </w:p>
        </w:tc>
      </w:tr>
      <w:tr w14:paraId="0EACAE22">
        <w:tc>
          <w:tcPr>
            <w:tcW w:w="8823" w:type="dxa"/>
          </w:tcPr>
          <w:p w14:paraId="6D05D811">
            <w:pPr>
              <w:rPr>
                <w:sz w:val="28"/>
              </w:rPr>
            </w:pPr>
            <w:r>
              <w:rPr>
                <w:rFonts w:hint="eastAsia"/>
                <w:sz w:val="28"/>
              </w:rPr>
              <w:t>教师评语：</w:t>
            </w:r>
          </w:p>
          <w:p w14:paraId="143EE68F">
            <w:pPr>
              <w:rPr>
                <w:sz w:val="28"/>
              </w:rPr>
            </w:pPr>
          </w:p>
          <w:p w14:paraId="4C1FC275">
            <w:pPr>
              <w:rPr>
                <w:sz w:val="28"/>
              </w:rPr>
            </w:pPr>
          </w:p>
          <w:p w14:paraId="7973D96B">
            <w:pPr>
              <w:rPr>
                <w:sz w:val="28"/>
              </w:rPr>
            </w:pPr>
          </w:p>
          <w:p w14:paraId="6C68D2AF">
            <w:pPr>
              <w:rPr>
                <w:sz w:val="28"/>
              </w:rPr>
            </w:pPr>
          </w:p>
          <w:p w14:paraId="0C67644F">
            <w:pPr>
              <w:rPr>
                <w:sz w:val="28"/>
              </w:rPr>
            </w:pPr>
          </w:p>
          <w:p w14:paraId="757FF15B">
            <w:pPr>
              <w:rPr>
                <w:sz w:val="28"/>
              </w:rPr>
            </w:pPr>
          </w:p>
          <w:p w14:paraId="485B14E9">
            <w:pPr>
              <w:ind w:firstLine="5475"/>
              <w:rPr>
                <w:sz w:val="28"/>
              </w:rPr>
            </w:pPr>
            <w:r>
              <w:rPr>
                <w:rFonts w:hint="eastAsia"/>
                <w:sz w:val="28"/>
              </w:rPr>
              <w:t>教师签字：</w:t>
            </w:r>
          </w:p>
          <w:p w14:paraId="693E1B5D">
            <w:pPr>
              <w:ind w:firstLine="5475"/>
              <w:rPr>
                <w:sz w:val="28"/>
              </w:rPr>
            </w:pPr>
            <w:r>
              <w:rPr>
                <w:rFonts w:hint="eastAsia"/>
                <w:sz w:val="28"/>
              </w:rPr>
              <w:t xml:space="preserve">   年   月   日</w:t>
            </w:r>
          </w:p>
        </w:tc>
      </w:tr>
    </w:tbl>
    <w:p w14:paraId="11A0FEAF"/>
    <w:p w14:paraId="64B14459">
      <w:pPr>
        <w:autoSpaceDE w:val="0"/>
        <w:autoSpaceDN w:val="0"/>
        <w:spacing w:before="312" w:beforeLines="100" w:after="120" w:line="360" w:lineRule="auto"/>
        <w:jc w:val="center"/>
        <w:rPr>
          <w:rFonts w:hint="eastAsia" w:ascii="黑体" w:hAnsi="黑体" w:eastAsia="黑体"/>
          <w:b w:val="0"/>
          <w:bCs/>
          <w:kern w:val="0"/>
          <w:sz w:val="32"/>
          <w:szCs w:val="32"/>
          <w:lang w:eastAsia="zh-CN"/>
        </w:rPr>
      </w:pPr>
      <w:r>
        <w:br w:type="page"/>
      </w:r>
      <w:r>
        <w:rPr>
          <w:rFonts w:hint="eastAsia" w:ascii="黑体" w:hAnsi="黑体" w:eastAsia="黑体"/>
          <w:b w:val="0"/>
          <w:bCs/>
          <w:kern w:val="0"/>
          <w:sz w:val="32"/>
          <w:szCs w:val="32"/>
        </w:rPr>
        <w:t>对本专业相关技术发展的初步认识和体会</w:t>
      </w:r>
    </w:p>
    <w:p w14:paraId="01AF46FD">
      <w:pPr>
        <w:autoSpaceDE w:val="0"/>
        <w:autoSpaceDN w:val="0"/>
        <w:adjustRightInd w:val="0"/>
        <w:spacing w:line="360" w:lineRule="auto"/>
        <w:jc w:val="center"/>
        <w:rPr>
          <w:rFonts w:ascii="楷体" w:hAnsi="楷体" w:eastAsia="楷体"/>
          <w:sz w:val="24"/>
          <w:lang w:val="zh-CN"/>
        </w:rPr>
      </w:pPr>
      <w:r>
        <w:rPr>
          <w:rFonts w:hint="eastAsia" w:ascii="楷体" w:hAnsi="楷体" w:eastAsia="楷体"/>
          <w:sz w:val="24"/>
          <w:lang w:val="en-US" w:eastAsia="zh-CN"/>
        </w:rPr>
        <w:t>宋文韬</w:t>
      </w:r>
    </w:p>
    <w:p w14:paraId="378E6256">
      <w:pPr>
        <w:pStyle w:val="10"/>
        <w:autoSpaceDE w:val="0"/>
        <w:autoSpaceDN w:val="0"/>
        <w:spacing w:line="360" w:lineRule="auto"/>
        <w:ind w:left="426" w:right="403" w:firstLine="0" w:firstLineChars="0"/>
        <w:jc w:val="center"/>
        <w:rPr>
          <w:rFonts w:eastAsia="楷体"/>
          <w:kern w:val="0"/>
          <w:sz w:val="24"/>
        </w:rPr>
      </w:pPr>
      <w:r>
        <w:rPr>
          <w:rFonts w:hint="eastAsia" w:eastAsia="楷体"/>
          <w:kern w:val="0"/>
          <w:sz w:val="24"/>
        </w:rPr>
        <w:t xml:space="preserve">( </w:t>
      </w:r>
      <w:r>
        <w:rPr>
          <w:rFonts w:hint="eastAsia" w:eastAsia="楷体"/>
          <w:kern w:val="0"/>
          <w:sz w:val="24"/>
          <w:lang w:val="en-US" w:eastAsia="zh-CN"/>
        </w:rPr>
        <w:t>华东理工大学</w:t>
      </w:r>
      <w:r>
        <w:rPr>
          <w:rFonts w:eastAsia="楷体"/>
          <w:kern w:val="0"/>
          <w:sz w:val="24"/>
        </w:rPr>
        <w:t>)</w:t>
      </w:r>
    </w:p>
    <w:p w14:paraId="6D398837">
      <w:pPr>
        <w:autoSpaceDE w:val="0"/>
        <w:autoSpaceDN w:val="0"/>
        <w:spacing w:after="156" w:afterLines="50" w:line="360" w:lineRule="auto"/>
        <w:ind w:right="420" w:rightChars="200"/>
        <w:rPr>
          <w:rFonts w:hint="eastAsia" w:asciiTheme="minorEastAsia" w:hAnsiTheme="minorEastAsia" w:eastAsiaTheme="minorEastAsia"/>
          <w:kern w:val="0"/>
          <w:sz w:val="18"/>
          <w:szCs w:val="18"/>
        </w:rPr>
      </w:pPr>
      <w:r>
        <w:rPr>
          <w:rFonts w:eastAsia="黑体"/>
          <w:b/>
          <w:bCs/>
          <w:kern w:val="0"/>
          <w:sz w:val="18"/>
          <w:szCs w:val="18"/>
        </w:rPr>
        <w:t>摘</w:t>
      </w:r>
      <w:r>
        <w:rPr>
          <w:rFonts w:hint="eastAsia" w:eastAsia="黑体"/>
          <w:b/>
          <w:bCs/>
          <w:kern w:val="0"/>
          <w:sz w:val="18"/>
          <w:szCs w:val="18"/>
        </w:rPr>
        <w:t xml:space="preserve">  </w:t>
      </w:r>
      <w:r>
        <w:rPr>
          <w:rFonts w:eastAsia="黑体"/>
          <w:b/>
          <w:bCs/>
          <w:kern w:val="0"/>
          <w:sz w:val="18"/>
          <w:szCs w:val="18"/>
        </w:rPr>
        <w:t>要</w:t>
      </w:r>
      <w:r>
        <w:rPr>
          <w:rFonts w:hint="eastAsia" w:eastAsia="黑体"/>
          <w:b/>
          <w:bCs/>
          <w:kern w:val="0"/>
          <w:sz w:val="18"/>
          <w:szCs w:val="18"/>
        </w:rPr>
        <w:t>：</w:t>
      </w:r>
      <w:r>
        <w:rPr>
          <w:rFonts w:hint="eastAsia" w:asciiTheme="minorEastAsia" w:hAnsiTheme="minorEastAsia" w:eastAsiaTheme="minorEastAsia"/>
          <w:kern w:val="0"/>
          <w:sz w:val="18"/>
          <w:szCs w:val="18"/>
        </w:rPr>
        <w:t>当前，人工智能与机器人技术正经历</w:t>
      </w:r>
      <w:r>
        <w:rPr>
          <w:rFonts w:hint="eastAsia" w:asciiTheme="minorEastAsia" w:hAnsiTheme="minorEastAsia" w:eastAsiaTheme="minorEastAsia"/>
          <w:kern w:val="0"/>
          <w:sz w:val="18"/>
          <w:szCs w:val="18"/>
          <w:lang w:val="en-US" w:eastAsia="zh-CN"/>
        </w:rPr>
        <w:t>高</w:t>
      </w:r>
      <w:r>
        <w:rPr>
          <w:rFonts w:hint="eastAsia" w:asciiTheme="minorEastAsia" w:hAnsiTheme="minorEastAsia" w:eastAsiaTheme="minorEastAsia"/>
          <w:kern w:val="0"/>
          <w:sz w:val="18"/>
          <w:szCs w:val="18"/>
        </w:rPr>
        <w:t>速发展</w:t>
      </w:r>
      <w:r>
        <w:rPr>
          <w:rFonts w:hint="eastAsia" w:asciiTheme="minorEastAsia" w:hAnsiTheme="minorEastAsia" w:eastAsiaTheme="minorEastAsia"/>
          <w:kern w:val="0"/>
          <w:sz w:val="18"/>
          <w:szCs w:val="18"/>
          <w:lang w:eastAsia="zh-CN"/>
        </w:rPr>
        <w:t>，</w:t>
      </w:r>
      <w:r>
        <w:rPr>
          <w:rFonts w:hint="eastAsia" w:asciiTheme="minorEastAsia" w:hAnsiTheme="minorEastAsia" w:eastAsiaTheme="minorEastAsia"/>
          <w:kern w:val="0"/>
          <w:sz w:val="18"/>
          <w:szCs w:val="18"/>
        </w:rPr>
        <w:t>多智能体协同、复杂系统优化等成为研究热点。</w:t>
      </w:r>
      <w:r>
        <w:rPr>
          <w:rFonts w:hint="eastAsia" w:asciiTheme="minorEastAsia" w:hAnsiTheme="minorEastAsia" w:eastAsiaTheme="minorEastAsia"/>
          <w:kern w:val="0"/>
          <w:sz w:val="18"/>
          <w:szCs w:val="18"/>
          <w:lang w:val="en-US" w:eastAsia="zh-CN"/>
        </w:rPr>
        <w:t>文章</w:t>
      </w:r>
      <w:r>
        <w:rPr>
          <w:rFonts w:hint="eastAsia" w:asciiTheme="minorEastAsia" w:hAnsiTheme="minorEastAsia" w:eastAsiaTheme="minorEastAsia"/>
          <w:kern w:val="0"/>
          <w:sz w:val="18"/>
          <w:szCs w:val="18"/>
        </w:rPr>
        <w:t>结合《专业前沿讲座》课程内容及</w:t>
      </w:r>
      <w:r>
        <w:rPr>
          <w:rFonts w:hint="eastAsia" w:asciiTheme="minorEastAsia" w:hAnsiTheme="minorEastAsia" w:eastAsiaTheme="minorEastAsia"/>
          <w:kern w:val="0"/>
          <w:sz w:val="18"/>
          <w:szCs w:val="18"/>
          <w:lang w:val="en-US" w:eastAsia="zh-CN"/>
        </w:rPr>
        <w:t>相关</w:t>
      </w:r>
      <w:r>
        <w:rPr>
          <w:rFonts w:hint="eastAsia" w:asciiTheme="minorEastAsia" w:hAnsiTheme="minorEastAsia" w:eastAsiaTheme="minorEastAsia"/>
          <w:kern w:val="0"/>
          <w:sz w:val="18"/>
          <w:szCs w:val="18"/>
        </w:rPr>
        <w:t>文献研读，梳理</w:t>
      </w:r>
      <w:r>
        <w:rPr>
          <w:rFonts w:hint="eastAsia" w:asciiTheme="minorEastAsia" w:hAnsiTheme="minorEastAsia" w:eastAsiaTheme="minorEastAsia"/>
          <w:kern w:val="0"/>
          <w:sz w:val="18"/>
          <w:szCs w:val="18"/>
          <w:lang w:val="en-US" w:eastAsia="zh-CN"/>
        </w:rPr>
        <w:t>与分析</w:t>
      </w:r>
      <w:r>
        <w:rPr>
          <w:rFonts w:hint="eastAsia" w:asciiTheme="minorEastAsia" w:hAnsiTheme="minorEastAsia" w:eastAsiaTheme="minorEastAsia"/>
          <w:kern w:val="0"/>
          <w:sz w:val="18"/>
          <w:szCs w:val="18"/>
        </w:rPr>
        <w:t>了多智能体感知决策、大规模全局优化、工业互联网信息融合与安全以及机器学习在科学探索中的前沿应用。通过对</w:t>
      </w:r>
      <w:r>
        <w:rPr>
          <w:rFonts w:hint="eastAsia" w:asciiTheme="minorEastAsia" w:hAnsiTheme="minorEastAsia" w:eastAsiaTheme="minorEastAsia"/>
          <w:kern w:val="0"/>
          <w:sz w:val="18"/>
          <w:szCs w:val="18"/>
          <w:lang w:val="en-US" w:eastAsia="zh-CN"/>
        </w:rPr>
        <w:t>这些</w:t>
      </w:r>
      <w:r>
        <w:rPr>
          <w:rFonts w:hint="eastAsia" w:asciiTheme="minorEastAsia" w:hAnsiTheme="minorEastAsia" w:eastAsiaTheme="minorEastAsia"/>
          <w:kern w:val="0"/>
          <w:sz w:val="18"/>
          <w:szCs w:val="18"/>
        </w:rPr>
        <w:t>技术在原理、实例及前沿研究上的综合分析，本报告</w:t>
      </w:r>
      <w:r>
        <w:rPr>
          <w:rFonts w:hint="eastAsia" w:asciiTheme="minorEastAsia" w:hAnsiTheme="minorEastAsia" w:eastAsiaTheme="minorEastAsia"/>
          <w:kern w:val="0"/>
          <w:sz w:val="18"/>
          <w:szCs w:val="18"/>
          <w:lang w:val="en-US" w:eastAsia="zh-CN"/>
        </w:rPr>
        <w:t>总结了</w:t>
      </w:r>
      <w:r>
        <w:rPr>
          <w:rFonts w:hint="eastAsia" w:asciiTheme="minorEastAsia" w:hAnsiTheme="minorEastAsia" w:eastAsiaTheme="minorEastAsia"/>
          <w:kern w:val="0"/>
          <w:sz w:val="18"/>
          <w:szCs w:val="18"/>
        </w:rPr>
        <w:t>当前人工智能技术发展的内在规律与主流趋势，进一步形成了对未来研究方向与科研方法的初步认识与思考。</w:t>
      </w:r>
    </w:p>
    <w:p w14:paraId="288A1077">
      <w:pPr>
        <w:autoSpaceDE w:val="0"/>
        <w:autoSpaceDN w:val="0"/>
        <w:spacing w:after="156" w:afterLines="50" w:line="360" w:lineRule="auto"/>
        <w:ind w:right="420" w:rightChars="200"/>
        <w:rPr>
          <w:kern w:val="0"/>
          <w:szCs w:val="21"/>
        </w:rPr>
      </w:pPr>
      <w:r>
        <w:rPr>
          <w:rFonts w:eastAsia="黑体"/>
          <w:b/>
          <w:bCs/>
          <w:kern w:val="0"/>
          <w:sz w:val="18"/>
          <w:szCs w:val="18"/>
        </w:rPr>
        <w:t>关键词</w:t>
      </w:r>
      <w:r>
        <w:rPr>
          <w:rFonts w:hint="eastAsia" w:eastAsia="黑体"/>
          <w:b/>
          <w:bCs/>
          <w:kern w:val="0"/>
          <w:sz w:val="18"/>
          <w:szCs w:val="18"/>
        </w:rPr>
        <w:t>：</w:t>
      </w:r>
      <w:r>
        <w:rPr>
          <w:rFonts w:eastAsia="黑体"/>
          <w:kern w:val="0"/>
          <w:sz w:val="18"/>
          <w:szCs w:val="18"/>
        </w:rPr>
        <w:t xml:space="preserve"> </w:t>
      </w:r>
      <w:r>
        <w:rPr>
          <w:rFonts w:eastAsia="仿宋_GB2312"/>
          <w:kern w:val="0"/>
          <w:sz w:val="18"/>
          <w:szCs w:val="18"/>
        </w:rPr>
        <w:t xml:space="preserve"> </w:t>
      </w:r>
      <w:r>
        <w:rPr>
          <w:rFonts w:hint="eastAsia" w:eastAsia="仿宋_GB2312"/>
          <w:kern w:val="0"/>
          <w:sz w:val="18"/>
          <w:szCs w:val="18"/>
        </w:rPr>
        <w:t>（</w:t>
      </w:r>
      <w:r>
        <w:rPr>
          <w:rFonts w:hint="eastAsia" w:eastAsia="仿宋_GB2312"/>
          <w:kern w:val="0"/>
          <w:sz w:val="18"/>
          <w:szCs w:val="18"/>
          <w:lang w:val="en-US" w:eastAsia="zh-CN"/>
        </w:rPr>
        <w:t>人工智能与机器人、多智能体、全局优化、工业互联网、机器学习</w:t>
      </w:r>
      <w:r>
        <w:rPr>
          <w:rFonts w:hint="eastAsia" w:eastAsia="仿宋_GB2312"/>
          <w:kern w:val="0"/>
          <w:sz w:val="18"/>
          <w:szCs w:val="18"/>
        </w:rPr>
        <w:t>）</w:t>
      </w:r>
    </w:p>
    <w:p w14:paraId="0C897E19">
      <w:pPr>
        <w:autoSpaceDE w:val="0"/>
        <w:autoSpaceDN w:val="0"/>
        <w:adjustRightInd w:val="0"/>
        <w:spacing w:line="360" w:lineRule="auto"/>
        <w:rPr>
          <w:kern w:val="0"/>
          <w:szCs w:val="21"/>
        </w:rPr>
      </w:pPr>
    </w:p>
    <w:p w14:paraId="0A6F36CB">
      <w:pPr>
        <w:pStyle w:val="10"/>
        <w:numPr>
          <w:ilvl w:val="0"/>
          <w:numId w:val="1"/>
        </w:numPr>
        <w:autoSpaceDE w:val="0"/>
        <w:autoSpaceDN w:val="0"/>
        <w:spacing w:before="156" w:beforeLines="50" w:line="360" w:lineRule="auto"/>
        <w:ind w:firstLineChars="0"/>
        <w:rPr>
          <w:b/>
          <w:szCs w:val="21"/>
        </w:rPr>
      </w:pPr>
      <w:r>
        <w:rPr>
          <w:rFonts w:hint="eastAsia" w:eastAsia="黑体"/>
          <w:b/>
          <w:sz w:val="28"/>
          <w:szCs w:val="28"/>
          <w:lang w:val="en-US" w:eastAsia="zh-CN"/>
        </w:rPr>
        <w:t>引言</w:t>
      </w:r>
    </w:p>
    <w:p w14:paraId="4408BBDE">
      <w:pPr>
        <w:pStyle w:val="14"/>
        <w:spacing w:line="360" w:lineRule="auto"/>
        <w:ind w:firstLine="420" w:firstLineChars="200"/>
        <w:rPr>
          <w:rFonts w:hint="eastAsia"/>
        </w:rPr>
      </w:pPr>
      <w:r>
        <w:rPr>
          <w:rFonts w:hint="eastAsia"/>
        </w:rPr>
        <w:t>当今世界，新一轮科技革命和产业变革正在深入发展，人工智能与机器人技术已成为国际竞争的新高地，也是推动经济社会发展的核心引擎。从自动驾驶车队的协同作业到智慧工厂的精准制造，从复杂系统的调度优化到基础科学领域的突破性发现，智能科学技术正在以前所未有的速度重塑着我们对世界的认知与改造能力。作为</w:t>
      </w:r>
      <w:r>
        <w:rPr>
          <w:rFonts w:hint="eastAsia"/>
          <w:lang w:val="en-US" w:eastAsia="zh-CN"/>
        </w:rPr>
        <w:t>信息学院</w:t>
      </w:r>
      <w:r>
        <w:rPr>
          <w:rFonts w:hint="eastAsia"/>
        </w:rPr>
        <w:t>的学生，置身于这一时代的浪潮中，不仅需要掌握扎实的工程基础，更需要具备广阔的国际视野，深刻理解技术演进的内在逻辑与未来趋势。</w:t>
      </w:r>
    </w:p>
    <w:p w14:paraId="784FF685">
      <w:pPr>
        <w:pStyle w:val="14"/>
        <w:spacing w:line="360" w:lineRule="auto"/>
        <w:ind w:firstLine="420" w:firstLineChars="200"/>
        <w:rPr>
          <w:rFonts w:hint="eastAsia"/>
        </w:rPr>
      </w:pPr>
      <w:r>
        <w:rPr>
          <w:rFonts w:hint="eastAsia"/>
        </w:rPr>
        <w:t>本报告将结合课程讲授内容与相关前沿文献的研读体会，分为三个部分展开：首先，探讨从单体智能向多智能体协同跨越的技术逻辑，以及大规模全局优化算法在其中的核心作用；其次，分析工业互联网背景下，信息融合技术如何赋能实体经济，以及随之而来的信息安全挑战与伦理责任；最后，展望机器学习在科学探索</w:t>
      </w:r>
      <w:r>
        <w:rPr>
          <w:rFonts w:hint="eastAsia"/>
          <w:lang w:val="en-US" w:eastAsia="zh-CN"/>
        </w:rPr>
        <w:t>与增进民生福祉</w:t>
      </w:r>
      <w:r>
        <w:rPr>
          <w:rFonts w:hint="eastAsia"/>
        </w:rPr>
        <w:t>中的革命性应用。通过对这些前沿技术的综合阐述，本报告旨在总结当前人工智能技术发展的规律，并结合个人思考，形成对未来科研方向与职业规范的初步认识与体会。</w:t>
      </w:r>
    </w:p>
    <w:p w14:paraId="299FA50B">
      <w:pPr>
        <w:pStyle w:val="10"/>
        <w:numPr>
          <w:ilvl w:val="0"/>
          <w:numId w:val="1"/>
        </w:numPr>
        <w:autoSpaceDE w:val="0"/>
        <w:autoSpaceDN w:val="0"/>
        <w:spacing w:before="156" w:beforeLines="50" w:line="360" w:lineRule="auto"/>
        <w:ind w:firstLineChars="0"/>
        <w:rPr>
          <w:rFonts w:eastAsia="黑体"/>
          <w:b/>
          <w:sz w:val="28"/>
          <w:szCs w:val="28"/>
        </w:rPr>
      </w:pPr>
      <w:r>
        <w:rPr>
          <w:rFonts w:hint="eastAsia" w:eastAsia="黑体"/>
          <w:b/>
          <w:sz w:val="28"/>
          <w:szCs w:val="28"/>
          <w:lang w:val="en-US" w:eastAsia="zh-CN"/>
        </w:rPr>
        <w:t>群体智能与复杂系统的优化决策</w:t>
      </w:r>
    </w:p>
    <w:p w14:paraId="635DBE94">
      <w:pPr>
        <w:spacing w:before="156" w:beforeLines="50" w:line="360" w:lineRule="auto"/>
        <w:rPr>
          <w:rFonts w:hint="eastAsia"/>
          <w:b/>
          <w:szCs w:val="21"/>
        </w:rPr>
      </w:pPr>
      <w:r>
        <w:rPr>
          <w:rFonts w:hint="eastAsia"/>
          <w:b/>
          <w:szCs w:val="21"/>
        </w:rPr>
        <w:t>2.1</w:t>
      </w:r>
      <w:r>
        <w:rPr>
          <w:rFonts w:hint="eastAsia"/>
          <w:b/>
          <w:szCs w:val="21"/>
        </w:rPr>
        <w:tab/>
      </w:r>
      <w:r>
        <w:rPr>
          <w:rFonts w:hint="eastAsia"/>
          <w:b/>
          <w:szCs w:val="21"/>
        </w:rPr>
        <w:t>多智能体系统的协同感知与决策</w:t>
      </w:r>
    </w:p>
    <w:p w14:paraId="14249694">
      <w:pPr>
        <w:spacing w:before="156" w:beforeLines="50" w:line="360" w:lineRule="auto"/>
        <w:ind w:firstLine="420" w:firstLineChars="200"/>
        <w:rPr>
          <w:rFonts w:hint="eastAsia"/>
          <w:b w:val="0"/>
          <w:bCs/>
          <w:szCs w:val="21"/>
        </w:rPr>
      </w:pPr>
      <w:r>
        <w:rPr>
          <w:rFonts w:hint="eastAsia"/>
          <w:b w:val="0"/>
          <w:bCs/>
          <w:szCs w:val="21"/>
        </w:rPr>
        <w:t>在面对动态、非结构化或大规模任务环境如无人机集群协同、智慧交通调度</w:t>
      </w:r>
      <w:r>
        <w:rPr>
          <w:rFonts w:hint="eastAsia"/>
          <w:b w:val="0"/>
          <w:bCs/>
          <w:szCs w:val="21"/>
          <w:lang w:val="en-US" w:eastAsia="zh-CN"/>
        </w:rPr>
        <w:t>等时</w:t>
      </w:r>
      <w:r>
        <w:rPr>
          <w:rFonts w:hint="eastAsia"/>
          <w:b w:val="0"/>
          <w:bCs/>
          <w:szCs w:val="21"/>
        </w:rPr>
        <w:t>，单体智能往往受限于感知范围与执行能力。多智能体系统（MAS）通过多个智能体间的交互与协作，能够涌现出超越个体之和的群体智能。</w:t>
      </w:r>
    </w:p>
    <w:p w14:paraId="290E79A0">
      <w:pPr>
        <w:keepNext/>
        <w:spacing w:before="156" w:beforeLines="50" w:line="360" w:lineRule="auto"/>
        <w:jc w:val="left"/>
        <w:rPr>
          <w:rFonts w:hint="eastAsia"/>
          <w:b w:val="0"/>
          <w:bCs/>
          <w:szCs w:val="21"/>
        </w:rPr>
      </w:pPr>
      <w:r>
        <w:rPr>
          <w:rFonts w:hint="eastAsia"/>
          <w:szCs w:val="21"/>
        </w:rPr>
        <w:t>2.</w:t>
      </w:r>
      <w:r>
        <w:rPr>
          <w:rFonts w:hint="eastAsia"/>
          <w:szCs w:val="21"/>
          <w:lang w:val="en-US" w:eastAsia="zh-CN"/>
        </w:rPr>
        <w:t>1</w:t>
      </w:r>
      <w:r>
        <w:rPr>
          <w:rFonts w:hint="eastAsia"/>
          <w:szCs w:val="21"/>
        </w:rPr>
        <w:t xml:space="preserve">.1 </w:t>
      </w:r>
      <w:r>
        <w:rPr>
          <w:rFonts w:hint="eastAsia"/>
          <w:b/>
          <w:bCs/>
          <w:szCs w:val="21"/>
          <w:lang w:val="en-US" w:eastAsia="zh-CN"/>
        </w:rPr>
        <w:t>分布式感知与博弈决策</w:t>
      </w:r>
      <w:r>
        <w:rPr>
          <w:rFonts w:hint="eastAsia"/>
          <w:b/>
          <w:szCs w:val="21"/>
        </w:rPr>
        <w:t>　　</w:t>
      </w:r>
      <w:r>
        <w:rPr>
          <w:rFonts w:hint="eastAsia"/>
          <w:b w:val="0"/>
          <w:bCs/>
          <w:szCs w:val="21"/>
        </w:rPr>
        <w:t>智能感知与决策是多智能体系统的核心要素 。与单体系统不同，多智能体面临着环境的“非平稳性”挑战——即一个智能体的策略更新会改变其他智能体面临的环境状态。 根据 Zhang 等人（2021）的研究</w:t>
      </w:r>
      <w:r>
        <w:rPr>
          <w:rFonts w:hint="default"/>
          <w:b w:val="0"/>
          <w:bCs/>
          <w:szCs w:val="21"/>
          <w:lang w:val="en-US"/>
        </w:rPr>
        <w:t>[1]</w:t>
      </w:r>
      <w:r>
        <w:rPr>
          <w:rFonts w:hint="eastAsia"/>
          <w:b w:val="0"/>
          <w:bCs/>
          <w:szCs w:val="21"/>
        </w:rPr>
        <w:t>，解决这一问题的关键在于引入博弈论框架与多智能体强化学习（MARL）算法。通过建立纳什均衡（Nash Equilibrium）或相关均衡机制，智能体能够在竞争或合作中找到最优策略组合。</w:t>
      </w:r>
      <w:r>
        <w:rPr>
          <w:rFonts w:hint="eastAsia"/>
          <w:b w:val="0"/>
          <w:bCs/>
          <w:szCs w:val="21"/>
        </w:rPr>
        <w:drawing>
          <wp:inline distT="0" distB="0" distL="114300" distR="114300">
            <wp:extent cx="5262880" cy="1652905"/>
            <wp:effectExtent l="0" t="0" r="20320" b="23495"/>
            <wp:docPr id="1" name="图片 1" descr="截屏2025-11-22 12.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5-11-22 12.14.29"/>
                    <pic:cNvPicPr>
                      <a:picLocks noChangeAspect="1"/>
                    </pic:cNvPicPr>
                  </pic:nvPicPr>
                  <pic:blipFill>
                    <a:blip r:embed="rId4"/>
                    <a:stretch>
                      <a:fillRect/>
                    </a:stretch>
                  </pic:blipFill>
                  <pic:spPr>
                    <a:xfrm>
                      <a:off x="0" y="0"/>
                      <a:ext cx="5262880" cy="1652905"/>
                    </a:xfrm>
                    <a:prstGeom prst="rect">
                      <a:avLst/>
                    </a:prstGeom>
                  </pic:spPr>
                </pic:pic>
              </a:graphicData>
            </a:graphic>
          </wp:inline>
        </w:drawing>
      </w:r>
    </w:p>
    <w:p w14:paraId="2A54B233">
      <w:pPr>
        <w:keepNext/>
        <w:spacing w:before="156" w:beforeLines="50" w:line="360" w:lineRule="auto"/>
        <w:jc w:val="center"/>
        <w:rPr>
          <w:rFonts w:hint="eastAsia"/>
          <w:b w:val="0"/>
          <w:bCs/>
          <w:szCs w:val="21"/>
        </w:rPr>
      </w:pPr>
      <w:r>
        <w:rPr>
          <w:rFonts w:hint="eastAsia"/>
          <w:b/>
          <w:bCs w:val="0"/>
          <w:szCs w:val="21"/>
        </w:rPr>
        <w:t>图 1 从单体决策到多智能体博弈的模型演变 [1]</w:t>
      </w:r>
    </w:p>
    <w:p w14:paraId="751137E7">
      <w:pPr>
        <w:keepNext/>
        <w:spacing w:before="156" w:beforeLines="50" w:line="360" w:lineRule="auto"/>
        <w:jc w:val="both"/>
        <w:rPr>
          <w:rFonts w:ascii="宋体" w:hAnsi="宋体" w:cs="宋体"/>
          <w:b w:val="0"/>
          <w:bCs/>
          <w:kern w:val="0"/>
          <w:szCs w:val="21"/>
        </w:rPr>
      </w:pPr>
      <w:r>
        <w:rPr>
          <w:rFonts w:hint="eastAsia"/>
          <w:b w:val="0"/>
          <w:bCs/>
          <w:szCs w:val="21"/>
        </w:rPr>
        <w:t>(a) 单体智能体面临的马尔可夫决策过程 (MDP)；(b) 多智能体系统中的马尔可夫博弈 (Markov Game) 模型，展示了多个智能体在共享环境中通过联合动作与环境交互并获取反馈的过程。这种从“中心化控制”向“分布式协同决策”的转变，是当前无人系统发展的必然趋势，也体现了智能时代的核心技术特征。</w:t>
      </w:r>
    </w:p>
    <w:p w14:paraId="39E013A1">
      <w:pPr>
        <w:keepNext/>
        <w:spacing w:before="156" w:beforeLines="50" w:line="360" w:lineRule="auto"/>
        <w:jc w:val="left"/>
        <w:rPr>
          <w:b/>
          <w:szCs w:val="21"/>
        </w:rPr>
      </w:pPr>
      <w:r>
        <w:rPr>
          <w:szCs w:val="21"/>
        </w:rPr>
        <w:t>2.</w:t>
      </w:r>
      <w:r>
        <w:rPr>
          <w:rFonts w:hint="eastAsia"/>
          <w:szCs w:val="21"/>
          <w:lang w:val="en-US" w:eastAsia="zh-CN"/>
        </w:rPr>
        <w:t>1</w:t>
      </w:r>
      <w:r>
        <w:rPr>
          <w:szCs w:val="21"/>
        </w:rPr>
        <w:t>.2</w:t>
      </w:r>
      <w:r>
        <w:rPr>
          <w:rFonts w:hint="eastAsia"/>
          <w:szCs w:val="21"/>
        </w:rPr>
        <w:t xml:space="preserve"> </w:t>
      </w:r>
      <w:r>
        <w:rPr>
          <w:rFonts w:hint="eastAsia"/>
          <w:szCs w:val="21"/>
          <w:lang w:val="en-US" w:eastAsia="zh-CN"/>
        </w:rPr>
        <w:t>协同控制的实现路径</w:t>
      </w:r>
      <w:r>
        <w:rPr>
          <w:rFonts w:hint="eastAsia"/>
          <w:b/>
          <w:szCs w:val="21"/>
        </w:rPr>
        <w:t>　　</w:t>
      </w:r>
      <w:r>
        <w:rPr>
          <w:rFonts w:hint="eastAsia" w:ascii="宋体" w:hAnsi="宋体" w:cs="宋体"/>
          <w:b w:val="0"/>
          <w:bCs/>
          <w:kern w:val="0"/>
          <w:szCs w:val="21"/>
        </w:rPr>
        <w:t>在具体的工程实践中，多智能体协同不仅需要算法支撑，还依赖于高效的通信拓扑与共识机制。通过对“智能感知与决策关键技术”的学习 ，我认识到，如何在大规模群体中实现低延迟的信息交互，并基于局部信息达成全局一致性，是目前工业界与学术界共同关注的热点。</w:t>
      </w:r>
    </w:p>
    <w:p w14:paraId="418C375C">
      <w:pPr>
        <w:autoSpaceDE w:val="0"/>
        <w:autoSpaceDN w:val="0"/>
        <w:spacing w:before="156" w:beforeLines="50" w:line="360" w:lineRule="auto"/>
        <w:rPr>
          <w:b/>
          <w:szCs w:val="21"/>
        </w:rPr>
      </w:pPr>
      <w:r>
        <w:rPr>
          <w:rFonts w:hint="eastAsia"/>
          <w:b/>
          <w:szCs w:val="21"/>
        </w:rPr>
        <w:t>2.2</w:t>
      </w:r>
      <w:r>
        <w:rPr>
          <w:rFonts w:hint="eastAsia"/>
          <w:b/>
          <w:szCs w:val="21"/>
        </w:rPr>
        <w:tab/>
      </w:r>
      <w:r>
        <w:rPr>
          <w:rFonts w:hint="eastAsia"/>
          <w:b/>
          <w:szCs w:val="21"/>
        </w:rPr>
        <w:t>基于分解的大规模全局优化策略</w:t>
      </w:r>
    </w:p>
    <w:p w14:paraId="39EAD4B2">
      <w:pPr>
        <w:autoSpaceDE w:val="0"/>
        <w:autoSpaceDN w:val="0"/>
        <w:spacing w:before="156" w:beforeLines="50" w:line="360" w:lineRule="auto"/>
        <w:ind w:firstLine="420" w:firstLineChars="200"/>
      </w:pPr>
      <w:r>
        <w:rPr>
          <w:rFonts w:hint="eastAsia"/>
        </w:rPr>
        <w:t>随着智能体数量的增加和系统精度的提升，优化问题的决策变量往往会膨胀至数千甚至上万维。课程第二章重点讲授了“基于分解的大规模全局优化新思考” ，这为解决高维复杂系统的“维数灾难”提供了核心方法论。</w:t>
      </w:r>
    </w:p>
    <w:p w14:paraId="128606EF">
      <w:pPr>
        <w:keepNext/>
        <w:spacing w:before="156" w:beforeLines="50" w:line="360" w:lineRule="auto"/>
        <w:jc w:val="left"/>
        <w:rPr>
          <w:rFonts w:ascii="宋体" w:hAnsi="宋体" w:cs="宋体"/>
          <w:bCs/>
          <w:kern w:val="0"/>
          <w:szCs w:val="21"/>
        </w:rPr>
      </w:pPr>
      <w:r>
        <w:rPr>
          <w:rFonts w:hint="eastAsia"/>
          <w:szCs w:val="21"/>
        </w:rPr>
        <w:t xml:space="preserve">2.2.1 </w:t>
      </w:r>
      <w:r>
        <w:rPr>
          <w:rFonts w:hint="eastAsia"/>
          <w:b/>
          <w:szCs w:val="21"/>
          <w:lang w:val="en-US" w:eastAsia="zh-CN"/>
        </w:rPr>
        <w:t>分解策略</w:t>
      </w:r>
      <w:r>
        <w:rPr>
          <w:rFonts w:hint="eastAsia"/>
          <w:b/>
          <w:szCs w:val="21"/>
        </w:rPr>
        <w:t>　　</w:t>
      </w:r>
      <w:r>
        <w:rPr>
          <w:rFonts w:hint="eastAsia" w:ascii="宋体" w:hAnsi="宋体" w:cs="宋体"/>
          <w:bCs/>
          <w:kern w:val="0"/>
          <w:szCs w:val="21"/>
        </w:rPr>
        <w:t>面对大规模全局优化（LSGO）问题，传统的进化算法往往因搜索空间过大而陷入局部最优。解决这一难题的关键在于“分解”</w:t>
      </w:r>
      <w:r>
        <w:rPr>
          <w:rFonts w:hint="eastAsia" w:ascii="宋体" w:hAnsi="宋体" w:cs="宋体"/>
          <w:bCs/>
          <w:kern w:val="0"/>
          <w:szCs w:val="21"/>
          <w:lang w:eastAsia="zh-CN"/>
        </w:rPr>
        <w:t>。</w:t>
      </w:r>
      <w:r>
        <w:rPr>
          <w:rFonts w:hint="eastAsia" w:ascii="宋体" w:hAnsi="宋体" w:cs="宋体"/>
          <w:bCs/>
          <w:kern w:val="0"/>
          <w:szCs w:val="21"/>
        </w:rPr>
        <w:t>协同进化算法（CCEA）是处理此类问题的经典范式 [2]。其核心思想是将一个高维的大规模优化问题分解为若干个低维的子问题（Sub-components），针对每个子问题分别进行进化求解，最后协同组合成全局最优解。</w:t>
      </w:r>
    </w:p>
    <w:p w14:paraId="636C3E64">
      <w:pPr>
        <w:keepNext/>
        <w:spacing w:before="156" w:beforeLines="50" w:line="360" w:lineRule="auto"/>
        <w:jc w:val="left"/>
        <w:rPr>
          <w:b w:val="0"/>
          <w:bCs/>
          <w:szCs w:val="21"/>
        </w:rPr>
      </w:pPr>
      <w:r>
        <w:rPr>
          <w:szCs w:val="21"/>
        </w:rPr>
        <w:t>2.2.2</w:t>
      </w:r>
      <w:r>
        <w:rPr>
          <w:rFonts w:hint="eastAsia"/>
          <w:szCs w:val="21"/>
        </w:rPr>
        <w:t xml:space="preserve"> </w:t>
      </w:r>
      <w:r>
        <w:rPr>
          <w:rFonts w:hint="eastAsia"/>
          <w:b/>
          <w:szCs w:val="21"/>
          <w:lang w:val="en-US" w:eastAsia="zh-CN"/>
        </w:rPr>
        <w:t>工程与科学思维的统一</w:t>
      </w:r>
      <w:r>
        <w:rPr>
          <w:rFonts w:hint="eastAsia"/>
          <w:b/>
          <w:szCs w:val="21"/>
        </w:rPr>
        <w:t>　　</w:t>
      </w:r>
      <w:r>
        <w:rPr>
          <w:rFonts w:hint="eastAsia" w:ascii="宋体" w:hAnsi="宋体" w:cs="宋体"/>
          <w:b w:val="0"/>
          <w:bCs/>
          <w:kern w:val="0"/>
          <w:szCs w:val="21"/>
        </w:rPr>
        <w:t>通过对“基于分解的大规模全局优化应用实例”的学习 ，我深刻体会到，优化不仅是数学计算，更是一种系统工程思维。无论是在工业制造的过程控制中，还是在物流网络的路径规划中，利用分解策略将复杂系统模块化、层次化，是提升系统运行效率、降低计算代价的根本途径。这不仅锻炼了我们解决复杂工程问题的能力，也加深了对“工程素养”这一思政要点的理解 。</w:t>
      </w:r>
    </w:p>
    <w:p w14:paraId="6A345BB3">
      <w:pPr>
        <w:pStyle w:val="10"/>
        <w:numPr>
          <w:ilvl w:val="0"/>
          <w:numId w:val="1"/>
        </w:numPr>
        <w:autoSpaceDE w:val="0"/>
        <w:autoSpaceDN w:val="0"/>
        <w:spacing w:before="156" w:beforeLines="50" w:line="360" w:lineRule="auto"/>
        <w:ind w:firstLineChars="0"/>
        <w:rPr>
          <w:rFonts w:eastAsia="黑体"/>
          <w:b/>
          <w:sz w:val="28"/>
          <w:szCs w:val="28"/>
        </w:rPr>
      </w:pPr>
      <w:r>
        <w:rPr>
          <w:rFonts w:hint="eastAsia" w:eastAsia="黑体"/>
          <w:b/>
          <w:sz w:val="28"/>
          <w:szCs w:val="28"/>
          <w:lang w:val="en-US" w:eastAsia="zh-CN"/>
        </w:rPr>
        <w:t>工业互联背景下的信息融合与安全防线</w:t>
      </w:r>
    </w:p>
    <w:p w14:paraId="583649FD">
      <w:pPr>
        <w:spacing w:before="156" w:beforeLines="50" w:line="360" w:lineRule="auto"/>
        <w:rPr>
          <w:rFonts w:hint="eastAsia"/>
          <w:b/>
          <w:szCs w:val="21"/>
        </w:rPr>
      </w:pPr>
      <w:r>
        <w:rPr>
          <w:rFonts w:hint="eastAsia"/>
          <w:b/>
          <w:szCs w:val="21"/>
          <w:lang w:val="en-US" w:eastAsia="zh-CN"/>
        </w:rPr>
        <w:t>3</w:t>
      </w:r>
      <w:r>
        <w:rPr>
          <w:rFonts w:hint="eastAsia"/>
          <w:b/>
          <w:szCs w:val="21"/>
        </w:rPr>
        <w:t>.1</w:t>
      </w:r>
      <w:r>
        <w:rPr>
          <w:rFonts w:hint="eastAsia"/>
          <w:b/>
          <w:szCs w:val="21"/>
        </w:rPr>
        <w:tab/>
      </w:r>
      <w:r>
        <w:rPr>
          <w:rFonts w:hint="eastAsia"/>
          <w:b/>
          <w:szCs w:val="21"/>
        </w:rPr>
        <w:t>多源异构信息的深度融合</w:t>
      </w:r>
    </w:p>
    <w:p w14:paraId="72572140">
      <w:pPr>
        <w:keepNext/>
        <w:spacing w:before="156" w:beforeLines="50" w:line="360" w:lineRule="auto"/>
        <w:ind w:firstLine="420" w:firstLineChars="200"/>
        <w:jc w:val="left"/>
        <w:rPr>
          <w:rFonts w:hint="eastAsia"/>
          <w:b w:val="0"/>
          <w:bCs/>
          <w:szCs w:val="21"/>
        </w:rPr>
      </w:pPr>
      <w:r>
        <w:rPr>
          <w:rFonts w:hint="eastAsia"/>
          <w:b w:val="0"/>
          <w:bCs/>
          <w:szCs w:val="21"/>
        </w:rPr>
        <w:t>课程讲授中提到，大数据的处理分析与挖掘是理解智能时代的关键 。通过学习“信息融合简介及应用” ，我理解到信息融合不仅仅是数据的简单叠加，而是对多源信息进行多级别、多层次的处理。例如，在高端装备的运维中，需要</w:t>
      </w:r>
      <w:r>
        <w:rPr>
          <w:rFonts w:hint="eastAsia"/>
          <w:b w:val="0"/>
          <w:bCs/>
          <w:szCs w:val="21"/>
          <w:lang w:val="en-US" w:eastAsia="zh-CN"/>
        </w:rPr>
        <w:t>将物理量</w:t>
      </w:r>
      <w:r>
        <w:rPr>
          <w:rFonts w:hint="eastAsia"/>
          <w:b w:val="0"/>
          <w:bCs/>
          <w:szCs w:val="21"/>
        </w:rPr>
        <w:t>与文本信息进行融合。 这种融合往往需要结合“过程机理”与“大数据建模”。即利用深度学习算法挖掘数据特征的同时，必须引入物理机理模型作为约束，才能在工业场景下实现精准的状态监测与故障诊断。这不仅提升了系统的感知精度，也为辅助决策提供了可靠依据。</w:t>
      </w:r>
    </w:p>
    <w:p w14:paraId="1FD90AD4">
      <w:pPr>
        <w:autoSpaceDE w:val="0"/>
        <w:autoSpaceDN w:val="0"/>
        <w:spacing w:before="156" w:beforeLines="50" w:line="360" w:lineRule="auto"/>
        <w:rPr>
          <w:rFonts w:hint="eastAsia" w:eastAsia="宋体"/>
          <w:b/>
          <w:szCs w:val="21"/>
          <w:lang w:val="en-US" w:eastAsia="zh-CN"/>
        </w:rPr>
      </w:pPr>
      <w:r>
        <w:rPr>
          <w:rFonts w:hint="eastAsia"/>
          <w:b/>
          <w:szCs w:val="21"/>
          <w:lang w:val="en-US" w:eastAsia="zh-CN"/>
        </w:rPr>
        <w:t>3</w:t>
      </w:r>
      <w:r>
        <w:rPr>
          <w:rFonts w:hint="eastAsia"/>
          <w:b/>
          <w:szCs w:val="21"/>
        </w:rPr>
        <w:t>.2</w:t>
      </w:r>
      <w:r>
        <w:rPr>
          <w:rFonts w:hint="eastAsia"/>
          <w:b/>
          <w:szCs w:val="21"/>
        </w:rPr>
        <w:tab/>
      </w:r>
      <w:r>
        <w:rPr>
          <w:rFonts w:hint="eastAsia"/>
          <w:b/>
          <w:szCs w:val="21"/>
        </w:rPr>
        <w:t>工业控制系统的安全</w:t>
      </w:r>
      <w:r>
        <w:rPr>
          <w:rFonts w:hint="eastAsia"/>
          <w:b/>
          <w:szCs w:val="21"/>
          <w:lang w:val="en-US" w:eastAsia="zh-CN"/>
        </w:rPr>
        <w:t>策略</w:t>
      </w:r>
    </w:p>
    <w:p w14:paraId="25663B9B">
      <w:pPr>
        <w:autoSpaceDE w:val="0"/>
        <w:autoSpaceDN w:val="0"/>
        <w:spacing w:before="156" w:beforeLines="50" w:line="360" w:lineRule="auto"/>
        <w:ind w:firstLine="420" w:firstLineChars="200"/>
        <w:rPr>
          <w:rFonts w:hint="eastAsia"/>
        </w:rPr>
      </w:pPr>
      <w:r>
        <w:rPr>
          <w:rFonts w:hint="eastAsia"/>
        </w:rPr>
        <w:t>随着信息技术与运营技术的深度融合，封闭的工业控制系统逐渐开放，随之而来的是暴露面的扩大和安全风险的剧增。</w:t>
      </w:r>
      <w:r>
        <w:rPr>
          <w:rFonts w:hint="eastAsia"/>
          <w:lang w:val="en-US" w:eastAsia="zh-CN"/>
        </w:rPr>
        <w:t>课程强调了</w:t>
      </w:r>
      <w:r>
        <w:rPr>
          <w:rFonts w:hint="eastAsia"/>
        </w:rPr>
        <w:t>“信息安全算法”与“科学伦理”的重要性 ，这引发了我对工程师社会责任的深层思考。</w:t>
      </w:r>
    </w:p>
    <w:p w14:paraId="08C7F26C">
      <w:pPr>
        <w:keepNext/>
        <w:spacing w:before="156" w:beforeLines="50" w:line="360" w:lineRule="auto"/>
        <w:jc w:val="left"/>
        <w:rPr>
          <w:rFonts w:ascii="宋体" w:hAnsi="宋体" w:cs="宋体"/>
          <w:bCs/>
          <w:kern w:val="0"/>
          <w:szCs w:val="21"/>
        </w:rPr>
      </w:pPr>
      <w:r>
        <w:rPr>
          <w:rFonts w:hint="eastAsia"/>
          <w:szCs w:val="21"/>
          <w:lang w:val="en-US" w:eastAsia="zh-CN"/>
        </w:rPr>
        <w:t>3</w:t>
      </w:r>
      <w:r>
        <w:rPr>
          <w:rFonts w:hint="eastAsia"/>
          <w:szCs w:val="21"/>
        </w:rPr>
        <w:t xml:space="preserve">.2.1 </w:t>
      </w:r>
      <w:r>
        <w:rPr>
          <w:rFonts w:hint="eastAsia"/>
          <w:b/>
          <w:bCs/>
          <w:szCs w:val="21"/>
          <w:lang w:val="en-US" w:eastAsia="zh-CN"/>
        </w:rPr>
        <w:t>工业安全的特殊性和严峻挑战</w:t>
      </w:r>
      <w:r>
        <w:rPr>
          <w:rFonts w:hint="eastAsia"/>
          <w:b/>
          <w:szCs w:val="21"/>
        </w:rPr>
        <w:t>　　</w:t>
      </w:r>
      <w:r>
        <w:rPr>
          <w:rFonts w:hint="eastAsia" w:ascii="宋体" w:hAnsi="宋体" w:cs="宋体"/>
          <w:bCs/>
          <w:kern w:val="0"/>
          <w:szCs w:val="21"/>
        </w:rPr>
        <w:t>与传统互联网安全仅关注数据隐私不同，工业互联网安全直接关系到物理世界的安全。根据 Sadeghi 等人（2020）在《IEEE工业电子汇刊》上的分析，工业物联网（IIoT）面临着特有的安全与隐私挑战 [3]。一次针对化工控制系统的恶意攻击，不仅会导致商业机密的泄露，更可能引发设备损坏、环境污染甚至人员伤亡。 因此，在设计智能系统时，我们必须遵循“Security by Design”（设计内建安全）的原则。不仅要研究异常检测与加密算法等技术防御手段，更要从系统架构层面考虑功能的安全性。</w:t>
      </w:r>
    </w:p>
    <w:p w14:paraId="27590207">
      <w:pPr>
        <w:keepNext/>
        <w:spacing w:before="156" w:beforeLines="50" w:line="360" w:lineRule="auto"/>
        <w:jc w:val="left"/>
        <w:rPr>
          <w:rFonts w:hint="eastAsia" w:ascii="宋体" w:hAnsi="宋体" w:cs="宋体"/>
          <w:bCs/>
          <w:kern w:val="0"/>
          <w:szCs w:val="21"/>
          <w:lang w:eastAsia="zh-CN"/>
        </w:rPr>
      </w:pPr>
      <w:r>
        <w:rPr>
          <w:rFonts w:hint="eastAsia"/>
          <w:szCs w:val="21"/>
          <w:lang w:val="en-US" w:eastAsia="zh-CN"/>
        </w:rPr>
        <w:t>3.</w:t>
      </w:r>
      <w:r>
        <w:rPr>
          <w:szCs w:val="21"/>
        </w:rPr>
        <w:t>2.2</w:t>
      </w:r>
      <w:r>
        <w:rPr>
          <w:rFonts w:hint="eastAsia"/>
          <w:szCs w:val="21"/>
        </w:rPr>
        <w:t xml:space="preserve"> </w:t>
      </w:r>
      <w:r>
        <w:rPr>
          <w:rFonts w:hint="eastAsia"/>
          <w:b/>
          <w:szCs w:val="21"/>
          <w:lang w:val="en-US" w:eastAsia="zh-CN"/>
        </w:rPr>
        <w:t xml:space="preserve">工程伦理与社会责任    </w:t>
      </w:r>
      <w:r>
        <w:rPr>
          <w:rFonts w:hint="eastAsia" w:ascii="宋体" w:hAnsi="宋体" w:cs="宋体"/>
          <w:bCs/>
          <w:kern w:val="0"/>
          <w:szCs w:val="21"/>
        </w:rPr>
        <w:t>我们不仅要追求算法的效率，更要时刻关注工程实践对公众安全、健康及环境的影响 。在构建工业互联网平台时，必须自觉履行保护数据隐私、维护国家基础设施安全的社会责任 ，将科学伦理融入技术研发的每一个环节。这部分的学习使我对“职业规范”有了更具象的理解</w:t>
      </w:r>
      <w:r>
        <w:rPr>
          <w:rFonts w:hint="eastAsia" w:ascii="宋体" w:hAnsi="宋体" w:cs="宋体"/>
          <w:bCs/>
          <w:kern w:val="0"/>
          <w:szCs w:val="21"/>
          <w:lang w:eastAsia="zh-CN"/>
        </w:rPr>
        <w:t>。</w:t>
      </w:r>
    </w:p>
    <w:p w14:paraId="3E8FE255">
      <w:pPr>
        <w:pStyle w:val="10"/>
        <w:numPr>
          <w:ilvl w:val="0"/>
          <w:numId w:val="1"/>
        </w:numPr>
        <w:autoSpaceDE w:val="0"/>
        <w:autoSpaceDN w:val="0"/>
        <w:spacing w:before="156" w:beforeLines="50" w:line="360" w:lineRule="auto"/>
        <w:ind w:firstLineChars="0"/>
        <w:rPr>
          <w:rFonts w:eastAsia="黑体"/>
          <w:b/>
          <w:sz w:val="28"/>
          <w:szCs w:val="28"/>
        </w:rPr>
      </w:pPr>
      <w:r>
        <w:rPr>
          <w:rFonts w:hint="eastAsia" w:eastAsia="黑体"/>
          <w:b/>
          <w:sz w:val="28"/>
          <w:szCs w:val="28"/>
          <w:lang w:val="en-US" w:eastAsia="zh-CN"/>
        </w:rPr>
        <w:t>从经典机器学习算法到科技前沿</w:t>
      </w:r>
    </w:p>
    <w:p w14:paraId="51709FB1">
      <w:pPr>
        <w:spacing w:before="156" w:beforeLines="50" w:line="360" w:lineRule="auto"/>
        <w:rPr>
          <w:rFonts w:hint="eastAsia"/>
          <w:b/>
          <w:bCs w:val="0"/>
          <w:szCs w:val="21"/>
          <w:lang w:val="en-US" w:eastAsia="zh-CN"/>
        </w:rPr>
      </w:pPr>
      <w:r>
        <w:rPr>
          <w:rFonts w:hint="eastAsia"/>
          <w:b/>
          <w:szCs w:val="21"/>
          <w:lang w:val="en-US" w:eastAsia="zh-CN"/>
        </w:rPr>
        <w:t>4</w:t>
      </w:r>
      <w:r>
        <w:rPr>
          <w:rFonts w:hint="eastAsia"/>
          <w:b/>
          <w:szCs w:val="21"/>
        </w:rPr>
        <w:t>.1</w:t>
      </w:r>
      <w:r>
        <w:rPr>
          <w:rFonts w:hint="eastAsia"/>
          <w:b/>
          <w:szCs w:val="21"/>
        </w:rPr>
        <w:tab/>
      </w:r>
      <w:r>
        <w:rPr>
          <w:rFonts w:hint="eastAsia"/>
          <w:b/>
          <w:bCs w:val="0"/>
          <w:szCs w:val="21"/>
          <w:lang w:val="en-US" w:eastAsia="zh-CN"/>
        </w:rPr>
        <w:t>经典机器学习模型的科学适用性</w:t>
      </w:r>
    </w:p>
    <w:p w14:paraId="00F4600C">
      <w:pPr>
        <w:spacing w:before="156" w:beforeLines="50" w:line="360" w:lineRule="auto"/>
        <w:ind w:firstLine="420" w:firstLineChars="200"/>
        <w:rPr>
          <w:rFonts w:hint="eastAsia"/>
          <w:b w:val="0"/>
          <w:bCs/>
          <w:szCs w:val="21"/>
          <w:lang w:val="en-US" w:eastAsia="zh-CN"/>
        </w:rPr>
      </w:pPr>
      <w:r>
        <w:rPr>
          <w:rFonts w:hint="eastAsia"/>
          <w:b w:val="0"/>
          <w:bCs/>
          <w:szCs w:val="21"/>
          <w:lang w:val="en-US" w:eastAsia="zh-CN"/>
        </w:rPr>
        <w:t>在本课程的学习过程中，我经历了一个由浅入深、从经典统计模型向深度神经网络进阶的认知过程。</w:t>
      </w:r>
    </w:p>
    <w:p w14:paraId="2C9A66CC">
      <w:pPr>
        <w:spacing w:before="156" w:beforeLines="50" w:line="360" w:lineRule="auto"/>
        <w:ind w:firstLine="420" w:firstLineChars="200"/>
        <w:rPr>
          <w:rFonts w:hint="default"/>
          <w:b/>
          <w:bCs w:val="0"/>
          <w:szCs w:val="21"/>
          <w:lang w:val="en-US" w:eastAsia="zh-CN"/>
        </w:rPr>
      </w:pPr>
      <w:r>
        <w:rPr>
          <w:rFonts w:hint="eastAsia"/>
          <w:b w:val="0"/>
          <w:bCs/>
          <w:szCs w:val="21"/>
          <w:lang w:val="en-US" w:eastAsia="zh-CN"/>
        </w:rPr>
        <w:t>最初，我从基于统计学习理论的支持向量机（SVM）入手，理解了如何通过数学变换处理小样本数据；随后，接触了以随机森林为代表的集成学习算法，领悟了通过“群体决策”降低模型方差的智慧；最后，探究了以卷积神经网络（CNN）为核心的深度学习架构，掌握了处理高维非结构化数据的关键技术。这一学习路径不仅夯实了我的算法基础，也让我深刻认识到不同模型在科学探索中独特的适用场景。</w:t>
      </w:r>
    </w:p>
    <w:p w14:paraId="233781AD">
      <w:pPr>
        <w:spacing w:before="156" w:beforeLines="50" w:line="360" w:lineRule="auto"/>
        <w:rPr>
          <w:rFonts w:hint="eastAsia" w:eastAsia="宋体"/>
          <w:b w:val="0"/>
          <w:bCs/>
          <w:szCs w:val="21"/>
          <w:lang w:eastAsia="zh-CN"/>
        </w:rPr>
      </w:pPr>
      <w:r>
        <w:rPr>
          <w:rFonts w:hint="eastAsia"/>
          <w:b w:val="0"/>
          <w:bCs/>
          <w:szCs w:val="21"/>
          <w:lang w:val="en-US" w:eastAsia="zh-CN"/>
        </w:rPr>
        <w:t>4.1.1</w:t>
      </w:r>
      <w:r>
        <w:rPr>
          <w:rFonts w:hint="eastAsia" w:ascii="宋体" w:hAnsi="宋体" w:eastAsia="宋体" w:cs="宋体"/>
          <w:b/>
          <w:bCs w:val="0"/>
          <w:szCs w:val="21"/>
        </w:rPr>
        <w:t>支持向量机 (SVM)</w:t>
      </w:r>
      <w:r>
        <w:rPr>
          <w:rFonts w:hint="eastAsia"/>
          <w:b w:val="0"/>
          <w:bCs/>
          <w:szCs w:val="21"/>
          <w:lang w:val="en-US" w:eastAsia="zh-CN"/>
        </w:rPr>
        <w:t xml:space="preserve">    </w:t>
      </w:r>
      <w:r>
        <w:rPr>
          <w:rFonts w:hint="eastAsia"/>
          <w:b w:val="0"/>
          <w:bCs/>
          <w:szCs w:val="21"/>
        </w:rPr>
        <w:t>作为基于统计学习理论的经典算法</w:t>
      </w:r>
      <w:r>
        <w:rPr>
          <w:rFonts w:hint="eastAsia"/>
          <w:b w:val="0"/>
          <w:bCs/>
          <w:szCs w:val="21"/>
          <w:lang w:eastAsia="zh-CN"/>
        </w:rPr>
        <w:t>，</w:t>
      </w:r>
      <w:r>
        <w:rPr>
          <w:rFonts w:hint="eastAsia"/>
          <w:b w:val="0"/>
          <w:bCs/>
          <w:szCs w:val="21"/>
        </w:rPr>
        <w:t>SVM 在处理小样本、高维度的科学实验数据时表现出色。在课程讨论中 ，我们了解到在某些材料分类或生物标记物检测的场景下，由于实验数据获取昂贵且稀缺，深度学习难以收敛，而SVM 通过核函数将数据映射到高维空间寻找最优超平面的能力，使其依然具有不可替代的价值</w:t>
      </w:r>
      <w:r>
        <w:rPr>
          <w:rFonts w:hint="default"/>
          <w:b w:val="0"/>
          <w:bCs/>
          <w:szCs w:val="21"/>
          <w:lang w:val="en-US"/>
        </w:rPr>
        <w:t>[4]</w:t>
      </w:r>
      <w:r>
        <w:rPr>
          <w:rFonts w:hint="eastAsia"/>
          <w:b w:val="0"/>
          <w:bCs/>
          <w:szCs w:val="21"/>
        </w:rPr>
        <w:t>。</w:t>
      </w:r>
      <w:r>
        <w:rPr>
          <w:rFonts w:hint="eastAsia" w:eastAsia="宋体"/>
          <w:b w:val="0"/>
          <w:bCs/>
          <w:szCs w:val="21"/>
          <w:lang w:eastAsia="zh-CN"/>
        </w:rPr>
        <w:drawing>
          <wp:inline distT="0" distB="0" distL="114300" distR="114300">
            <wp:extent cx="5269865" cy="5074285"/>
            <wp:effectExtent l="0" t="0" r="13335" b="5715"/>
            <wp:docPr id="3" name="图片 3" descr="截屏2025-11-22 13.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5-11-22 13.24.14"/>
                    <pic:cNvPicPr>
                      <a:picLocks noChangeAspect="1"/>
                    </pic:cNvPicPr>
                  </pic:nvPicPr>
                  <pic:blipFill>
                    <a:blip r:embed="rId5"/>
                    <a:stretch>
                      <a:fillRect/>
                    </a:stretch>
                  </pic:blipFill>
                  <pic:spPr>
                    <a:xfrm>
                      <a:off x="0" y="0"/>
                      <a:ext cx="5269865" cy="5074285"/>
                    </a:xfrm>
                    <a:prstGeom prst="rect">
                      <a:avLst/>
                    </a:prstGeom>
                  </pic:spPr>
                </pic:pic>
              </a:graphicData>
            </a:graphic>
          </wp:inline>
        </w:drawing>
      </w:r>
    </w:p>
    <w:p w14:paraId="4CE367E9">
      <w:pPr>
        <w:keepNext/>
        <w:spacing w:before="156" w:beforeLines="50" w:line="360" w:lineRule="auto"/>
        <w:jc w:val="center"/>
        <w:rPr>
          <w:rFonts w:hint="default" w:eastAsia="宋体"/>
          <w:b/>
          <w:bCs w:val="0"/>
          <w:szCs w:val="21"/>
          <w:lang w:val="en-US" w:eastAsia="zh-CN"/>
        </w:rPr>
      </w:pPr>
      <w:r>
        <w:rPr>
          <w:rFonts w:hint="eastAsia"/>
          <w:b/>
          <w:bCs w:val="0"/>
          <w:szCs w:val="21"/>
          <w:lang w:val="en-US" w:eastAsia="zh-CN"/>
        </w:rPr>
        <w:t xml:space="preserve">图 2 </w:t>
      </w:r>
      <w:r>
        <w:rPr>
          <w:rFonts w:hint="default" w:eastAsia="宋体"/>
          <w:b/>
          <w:bCs w:val="0"/>
          <w:szCs w:val="21"/>
          <w:lang w:val="en-US" w:eastAsia="zh-CN"/>
        </w:rPr>
        <w:t>Kernel Function</w:t>
      </w:r>
      <w:r>
        <w:rPr>
          <w:rFonts w:hint="default"/>
          <w:b/>
          <w:bCs w:val="0"/>
          <w:szCs w:val="21"/>
          <w:lang w:val="en-US" w:eastAsia="zh-CN"/>
        </w:rPr>
        <w:t>:</w:t>
      </w:r>
      <w:r>
        <w:rPr>
          <w:rFonts w:hint="default" w:eastAsia="宋体"/>
          <w:b/>
          <w:bCs w:val="0"/>
          <w:szCs w:val="21"/>
          <w:lang w:val="en-US" w:eastAsia="zh-CN"/>
        </w:rPr>
        <w:t>将低维数据映射到高维空间，从而找到最优分类超平面 [</w:t>
      </w:r>
      <w:r>
        <w:rPr>
          <w:rFonts w:hint="default"/>
          <w:b/>
          <w:bCs w:val="0"/>
          <w:szCs w:val="21"/>
          <w:lang w:val="en-US" w:eastAsia="zh-CN"/>
        </w:rPr>
        <w:t>4</w:t>
      </w:r>
      <w:r>
        <w:rPr>
          <w:rFonts w:hint="default" w:eastAsia="宋体"/>
          <w:b/>
          <w:bCs w:val="0"/>
          <w:szCs w:val="21"/>
          <w:lang w:val="en-US" w:eastAsia="zh-CN"/>
        </w:rPr>
        <w:t>]</w:t>
      </w:r>
    </w:p>
    <w:p w14:paraId="1CC4EEAA">
      <w:pPr>
        <w:keepNext/>
        <w:spacing w:before="156" w:beforeLines="50" w:line="360" w:lineRule="auto"/>
        <w:jc w:val="left"/>
        <w:rPr>
          <w:rFonts w:hint="eastAsia"/>
          <w:b w:val="0"/>
          <w:bCs/>
          <w:szCs w:val="21"/>
        </w:rPr>
      </w:pPr>
      <w:r>
        <w:rPr>
          <w:rFonts w:hint="eastAsia"/>
          <w:b w:val="0"/>
          <w:bCs/>
          <w:szCs w:val="21"/>
          <w:lang w:val="en-US" w:eastAsia="zh-CN"/>
        </w:rPr>
        <w:t>4.1.2</w:t>
      </w:r>
      <w:r>
        <w:rPr>
          <w:rFonts w:hint="eastAsia"/>
          <w:b/>
          <w:bCs w:val="0"/>
          <w:szCs w:val="21"/>
        </w:rPr>
        <w:t>集成学习 (Ensemble Learning)</w:t>
      </w:r>
      <w:r>
        <w:rPr>
          <w:rFonts w:hint="eastAsia"/>
          <w:b/>
          <w:bCs w:val="0"/>
          <w:szCs w:val="21"/>
          <w:lang w:val="en-US" w:eastAsia="zh-CN"/>
        </w:rPr>
        <w:t xml:space="preserve">    </w:t>
      </w:r>
      <w:r>
        <w:rPr>
          <w:rFonts w:hint="eastAsia"/>
          <w:b w:val="0"/>
          <w:bCs/>
          <w:szCs w:val="21"/>
        </w:rPr>
        <w:t>以随机森林（Random Forest）为代表的集成算法，通过构建多棵决策树来降低模型的方差。在涉及多变量耦合的复杂物理实验数据分析中，这类算法不仅能提供较高的预测精</w:t>
      </w:r>
      <w:bookmarkStart w:id="1" w:name="_GoBack"/>
      <w:bookmarkEnd w:id="1"/>
      <w:r>
        <w:rPr>
          <w:rFonts w:hint="eastAsia"/>
          <w:b w:val="0"/>
          <w:bCs/>
          <w:szCs w:val="21"/>
        </w:rPr>
        <w:t>度，还能输出“特征重要性”排序</w:t>
      </w:r>
      <w:r>
        <w:rPr>
          <w:rFonts w:hint="default"/>
          <w:b w:val="0"/>
          <w:bCs/>
          <w:szCs w:val="21"/>
          <w:lang w:val="en-US"/>
        </w:rPr>
        <w:t>[5]</w:t>
      </w:r>
      <w:r>
        <w:rPr>
          <w:rFonts w:hint="eastAsia"/>
          <w:b w:val="0"/>
          <w:bCs/>
          <w:szCs w:val="21"/>
        </w:rPr>
        <w:t>。这种可解释性对于科学家理解哪些物理量对实验结果影响最大至关重要。</w:t>
      </w:r>
    </w:p>
    <w:p w14:paraId="78A76325">
      <w:pPr>
        <w:keepNext/>
        <w:spacing w:before="156" w:beforeLines="50" w:line="360" w:lineRule="auto"/>
        <w:jc w:val="left"/>
        <w:rPr>
          <w:rFonts w:hint="eastAsia" w:eastAsia="宋体"/>
          <w:b w:val="0"/>
          <w:bCs/>
          <w:szCs w:val="21"/>
          <w:lang w:eastAsia="zh-CN"/>
        </w:rPr>
      </w:pPr>
      <w:r>
        <w:rPr>
          <w:rFonts w:hint="eastAsia"/>
          <w:b w:val="0"/>
          <w:bCs/>
          <w:szCs w:val="21"/>
          <w:lang w:val="en-US" w:eastAsia="zh-CN"/>
        </w:rPr>
        <w:t>4.1.3</w:t>
      </w:r>
      <w:r>
        <w:rPr>
          <w:rFonts w:hint="eastAsia"/>
          <w:b/>
          <w:bCs w:val="0"/>
          <w:szCs w:val="21"/>
        </w:rPr>
        <w:t>深度神经网络 (Deep Learning)</w:t>
      </w:r>
      <w:r>
        <w:rPr>
          <w:rFonts w:hint="eastAsia"/>
          <w:b w:val="0"/>
          <w:bCs/>
          <w:szCs w:val="21"/>
        </w:rPr>
        <w:t xml:space="preserve"> </w:t>
      </w:r>
      <w:r>
        <w:rPr>
          <w:rFonts w:hint="eastAsia"/>
          <w:b w:val="0"/>
          <w:bCs/>
          <w:szCs w:val="21"/>
          <w:lang w:val="en-US" w:eastAsia="zh-CN"/>
        </w:rPr>
        <w:t xml:space="preserve">    </w:t>
      </w:r>
      <w:r>
        <w:rPr>
          <w:rFonts w:hint="eastAsia"/>
          <w:b w:val="0"/>
          <w:bCs/>
          <w:szCs w:val="21"/>
        </w:rPr>
        <w:t>从经典的感知机发展而来的深度学习算法是本课程课外自主学习的重点。特别是卷积神经网络（CNN），作为当前处理网格结构数据（如天文望远镜拍摄的星系图、电子显微镜下的材料微观结构）的主流架构，展现了强大的特征提取能力 [</w:t>
      </w:r>
      <w:r>
        <w:rPr>
          <w:rFonts w:hint="eastAsia"/>
          <w:b w:val="0"/>
          <w:bCs/>
          <w:szCs w:val="21"/>
          <w:lang w:val="en-US" w:eastAsia="zh-CN"/>
        </w:rPr>
        <w:t>6</w:t>
      </w:r>
      <w:r>
        <w:rPr>
          <w:rFonts w:hint="eastAsia"/>
          <w:b w:val="0"/>
          <w:bCs/>
          <w:szCs w:val="21"/>
        </w:rPr>
        <w:t>]。该算法突破了传统方法的局限，能够自动从原始像素中学习到从边缘到纹理再到语义的高层特征，实现了端到端的智能感知。</w:t>
      </w:r>
      <w:r>
        <w:rPr>
          <w:rFonts w:hint="eastAsia" w:eastAsia="宋体"/>
          <w:b w:val="0"/>
          <w:bCs/>
          <w:szCs w:val="21"/>
          <w:lang w:eastAsia="zh-CN"/>
        </w:rPr>
        <w:drawing>
          <wp:inline distT="0" distB="0" distL="114300" distR="114300">
            <wp:extent cx="5272405" cy="1992630"/>
            <wp:effectExtent l="0" t="0" r="10795" b="13970"/>
            <wp:docPr id="4" name="图片 4" descr="截屏2025-11-22 13.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5-11-22 13.42.25"/>
                    <pic:cNvPicPr>
                      <a:picLocks noChangeAspect="1"/>
                    </pic:cNvPicPr>
                  </pic:nvPicPr>
                  <pic:blipFill>
                    <a:blip r:embed="rId6"/>
                    <a:stretch>
                      <a:fillRect/>
                    </a:stretch>
                  </pic:blipFill>
                  <pic:spPr>
                    <a:xfrm>
                      <a:off x="0" y="0"/>
                      <a:ext cx="5272405" cy="1992630"/>
                    </a:xfrm>
                    <a:prstGeom prst="rect">
                      <a:avLst/>
                    </a:prstGeom>
                  </pic:spPr>
                </pic:pic>
              </a:graphicData>
            </a:graphic>
          </wp:inline>
        </w:drawing>
      </w:r>
    </w:p>
    <w:p w14:paraId="508F6B04">
      <w:pPr>
        <w:keepNext/>
        <w:spacing w:before="156" w:beforeLines="50" w:line="360" w:lineRule="auto"/>
        <w:jc w:val="center"/>
        <w:rPr>
          <w:rFonts w:hint="eastAsia" w:eastAsia="宋体"/>
          <w:b/>
          <w:bCs w:val="0"/>
          <w:szCs w:val="21"/>
          <w:lang w:eastAsia="zh-CN"/>
        </w:rPr>
      </w:pPr>
      <w:r>
        <w:rPr>
          <w:rFonts w:hint="eastAsia" w:eastAsia="宋体"/>
          <w:b/>
          <w:bCs w:val="0"/>
          <w:szCs w:val="21"/>
          <w:lang w:eastAsia="zh-CN"/>
        </w:rPr>
        <w:t xml:space="preserve">图 </w:t>
      </w:r>
      <w:r>
        <w:rPr>
          <w:rFonts w:hint="eastAsia"/>
          <w:b/>
          <w:bCs w:val="0"/>
          <w:szCs w:val="21"/>
          <w:lang w:val="en-US" w:eastAsia="zh-CN"/>
        </w:rPr>
        <w:t>3</w:t>
      </w:r>
      <w:r>
        <w:rPr>
          <w:rFonts w:hint="eastAsia" w:eastAsia="宋体"/>
          <w:b/>
          <w:bCs w:val="0"/>
          <w:szCs w:val="21"/>
          <w:lang w:eastAsia="zh-CN"/>
        </w:rPr>
        <w:t xml:space="preserve"> 深度卷积神经网络的典型架构 [</w:t>
      </w:r>
      <w:r>
        <w:rPr>
          <w:rFonts w:hint="eastAsia"/>
          <w:b/>
          <w:bCs w:val="0"/>
          <w:szCs w:val="21"/>
          <w:lang w:val="en-US" w:eastAsia="zh-CN"/>
        </w:rPr>
        <w:t>6</w:t>
      </w:r>
      <w:r>
        <w:rPr>
          <w:rFonts w:hint="eastAsia" w:eastAsia="宋体"/>
          <w:b/>
          <w:bCs w:val="0"/>
          <w:szCs w:val="21"/>
          <w:lang w:eastAsia="zh-CN"/>
        </w:rPr>
        <w:t>]</w:t>
      </w:r>
    </w:p>
    <w:p w14:paraId="1DC59C06">
      <w:pPr>
        <w:keepNext/>
        <w:spacing w:before="156" w:beforeLines="50" w:line="360" w:lineRule="auto"/>
        <w:jc w:val="left"/>
        <w:rPr>
          <w:rFonts w:hint="eastAsia" w:eastAsia="宋体"/>
          <w:b w:val="0"/>
          <w:bCs/>
          <w:szCs w:val="21"/>
          <w:lang w:eastAsia="zh-CN"/>
        </w:rPr>
      </w:pPr>
      <w:r>
        <w:rPr>
          <w:rFonts w:hint="eastAsia" w:eastAsia="宋体"/>
          <w:b w:val="0"/>
          <w:bCs/>
          <w:szCs w:val="21"/>
          <w:lang w:eastAsia="zh-CN"/>
        </w:rPr>
        <w:t>该图展示了网络处理图像的完整流程：输入图像经过多个卷积层（Convolutions）与池化层（Pooling）的交替处理，逐层提取从低级几何特征到高级语义概念的层级化表示，最终实现精准分类。</w:t>
      </w:r>
    </w:p>
    <w:p w14:paraId="488F5D39">
      <w:pPr>
        <w:autoSpaceDE w:val="0"/>
        <w:autoSpaceDN w:val="0"/>
        <w:spacing w:before="156" w:beforeLines="50" w:line="360" w:lineRule="auto"/>
        <w:rPr>
          <w:rFonts w:hint="default" w:eastAsia="宋体"/>
          <w:b/>
          <w:szCs w:val="21"/>
          <w:lang w:val="en-US" w:eastAsia="zh-CN"/>
        </w:rPr>
      </w:pPr>
      <w:r>
        <w:rPr>
          <w:rFonts w:hint="eastAsia"/>
          <w:b/>
          <w:szCs w:val="21"/>
          <w:lang w:val="en-US" w:eastAsia="zh-CN"/>
        </w:rPr>
        <w:t>4</w:t>
      </w:r>
      <w:r>
        <w:rPr>
          <w:rFonts w:hint="eastAsia"/>
          <w:b/>
          <w:szCs w:val="21"/>
        </w:rPr>
        <w:t>.2</w:t>
      </w:r>
      <w:r>
        <w:rPr>
          <w:rFonts w:hint="eastAsia"/>
          <w:b/>
          <w:szCs w:val="21"/>
        </w:rPr>
        <w:tab/>
      </w:r>
      <w:r>
        <w:rPr>
          <w:rFonts w:hint="eastAsia"/>
          <w:b/>
          <w:szCs w:val="21"/>
          <w:lang w:val="en-US" w:eastAsia="zh-CN"/>
        </w:rPr>
        <w:t>从传统科学到新的科学探索</w:t>
      </w:r>
    </w:p>
    <w:p w14:paraId="6687B480">
      <w:pPr>
        <w:autoSpaceDE w:val="0"/>
        <w:autoSpaceDN w:val="0"/>
        <w:spacing w:before="156" w:beforeLines="50" w:line="360" w:lineRule="auto"/>
        <w:ind w:firstLine="420" w:firstLineChars="200"/>
        <w:rPr>
          <w:rFonts w:hint="eastAsia"/>
          <w:b w:val="0"/>
          <w:bCs/>
          <w:szCs w:val="21"/>
          <w:lang w:val="en-US" w:eastAsia="zh-CN"/>
        </w:rPr>
      </w:pPr>
      <w:r>
        <w:rPr>
          <w:rFonts w:hint="eastAsia"/>
          <w:b w:val="0"/>
          <w:bCs/>
          <w:szCs w:val="21"/>
          <w:lang w:val="en-US" w:eastAsia="zh-CN"/>
        </w:rPr>
        <w:t>传统的科学研究模式往往依赖于“观察—假设—实验”的线性循环，但在面对高维非线性问题时，人类的认知直觉与传统计算模拟（如第一性原理计算）的效率均遭遇了显著瓶颈。</w:t>
      </w:r>
    </w:p>
    <w:p w14:paraId="45ABF4BD">
      <w:pPr>
        <w:autoSpaceDE w:val="0"/>
        <w:autoSpaceDN w:val="0"/>
        <w:spacing w:before="156" w:beforeLines="50" w:line="360" w:lineRule="auto"/>
        <w:ind w:firstLine="420" w:firstLineChars="200"/>
        <w:rPr>
          <w:rFonts w:hint="eastAsia"/>
          <w:b w:val="0"/>
          <w:bCs/>
          <w:szCs w:val="21"/>
          <w:lang w:val="en-US" w:eastAsia="zh-CN"/>
        </w:rPr>
      </w:pPr>
      <w:r>
        <w:rPr>
          <w:rFonts w:hint="eastAsia"/>
          <w:b w:val="0"/>
          <w:bCs/>
          <w:szCs w:val="21"/>
          <w:lang w:val="en-US" w:eastAsia="zh-CN"/>
        </w:rPr>
        <w:t>根据相关前沿学术综述研究 [7]，深度学习模型通过学习海量科学数据中的高维分布特征，能够构建出逼近自然界物理定律的代理模型（Surrogate Models）。这一过程并非简单的数据插值与拟合，而是利用神经网络强大的泛化能力，在高维参数空间中寻找隐藏的科学规律。例如，生成式人工智能（Generative AI）目前已能自动生成符合特定物理化学约束的新分子结构，这种技术成功实现了“假设生成—验证”闭环的自动化，将科学发现的周期大大缩短，确立了全新的科学探索范式。</w:t>
      </w:r>
    </w:p>
    <w:p w14:paraId="0D15E57F">
      <w:pPr>
        <w:autoSpaceDE w:val="0"/>
        <w:autoSpaceDN w:val="0"/>
        <w:spacing w:before="156" w:beforeLines="50" w:line="360" w:lineRule="auto"/>
        <w:rPr>
          <w:rFonts w:hint="eastAsia"/>
          <w:b w:val="0"/>
          <w:bCs/>
          <w:szCs w:val="21"/>
          <w:lang w:val="en-US" w:eastAsia="zh-CN"/>
        </w:rPr>
      </w:pPr>
      <w:r>
        <w:rPr>
          <w:rFonts w:hint="eastAsia"/>
          <w:b w:val="0"/>
          <w:bCs/>
          <w:szCs w:val="21"/>
          <w:lang w:val="en-US" w:eastAsia="zh-CN"/>
        </w:rPr>
        <w:drawing>
          <wp:inline distT="0" distB="0" distL="114300" distR="114300">
            <wp:extent cx="5269230" cy="5097780"/>
            <wp:effectExtent l="0" t="0" r="13970" b="7620"/>
            <wp:docPr id="7" name="图片 7" descr="截屏2025-11-22 14.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屏2025-11-22 14.12.41"/>
                    <pic:cNvPicPr>
                      <a:picLocks noChangeAspect="1"/>
                    </pic:cNvPicPr>
                  </pic:nvPicPr>
                  <pic:blipFill>
                    <a:blip r:embed="rId7"/>
                    <a:stretch>
                      <a:fillRect/>
                    </a:stretch>
                  </pic:blipFill>
                  <pic:spPr>
                    <a:xfrm>
                      <a:off x="0" y="0"/>
                      <a:ext cx="5269230" cy="5097780"/>
                    </a:xfrm>
                    <a:prstGeom prst="rect">
                      <a:avLst/>
                    </a:prstGeom>
                  </pic:spPr>
                </pic:pic>
              </a:graphicData>
            </a:graphic>
          </wp:inline>
        </w:drawing>
      </w:r>
    </w:p>
    <w:p w14:paraId="0909F801">
      <w:pPr>
        <w:autoSpaceDE w:val="0"/>
        <w:autoSpaceDN w:val="0"/>
        <w:spacing w:before="156" w:beforeLines="50" w:line="360" w:lineRule="auto"/>
        <w:jc w:val="center"/>
        <w:rPr>
          <w:rFonts w:hint="eastAsia"/>
          <w:b/>
          <w:bCs w:val="0"/>
          <w:szCs w:val="21"/>
          <w:lang w:val="en-US" w:eastAsia="zh-CN"/>
        </w:rPr>
      </w:pPr>
      <w:r>
        <w:rPr>
          <w:rFonts w:hint="eastAsia"/>
          <w:b/>
          <w:bCs w:val="0"/>
          <w:szCs w:val="21"/>
          <w:lang w:val="en-US" w:eastAsia="zh-CN"/>
        </w:rPr>
        <w:t>图 4 人工智能驱动的科学发现闭环与应用版图 [7]</w:t>
      </w:r>
    </w:p>
    <w:p w14:paraId="132560CA">
      <w:pPr>
        <w:autoSpaceDE w:val="0"/>
        <w:autoSpaceDN w:val="0"/>
        <w:spacing w:before="156" w:beforeLines="50" w:line="360" w:lineRule="auto"/>
        <w:rPr>
          <w:rFonts w:hint="eastAsia"/>
          <w:b w:val="0"/>
          <w:bCs/>
          <w:szCs w:val="21"/>
          <w:lang w:val="en-US" w:eastAsia="zh-CN"/>
        </w:rPr>
      </w:pPr>
      <w:r>
        <w:rPr>
          <w:rFonts w:hint="eastAsia"/>
          <w:b w:val="0"/>
          <w:bCs/>
          <w:szCs w:val="21"/>
          <w:lang w:val="en-US" w:eastAsia="zh-CN"/>
        </w:rPr>
        <w:t>该图展示了AI for Science的核心范式：通过加速“观察—假设—实验”的迭代闭环，人工智能打破了学科壁垒，被广泛应用于天气预报、电池材料优化、核聚变控制及生物医疗序列建模等前沿领域，确立了区别于传统实验与理论计算的第四种科学范式。</w:t>
      </w:r>
    </w:p>
    <w:p w14:paraId="0FB57C10">
      <w:pPr>
        <w:autoSpaceDE w:val="0"/>
        <w:autoSpaceDN w:val="0"/>
        <w:spacing w:before="156" w:beforeLines="50" w:line="360" w:lineRule="auto"/>
        <w:rPr>
          <w:rFonts w:hint="default" w:ascii="宋体" w:hAnsi="宋体" w:eastAsia="宋体" w:cs="宋体"/>
          <w:b/>
          <w:bCs w:val="0"/>
          <w:szCs w:val="21"/>
          <w:lang w:val="en-US" w:eastAsia="zh-CN"/>
        </w:rPr>
      </w:pPr>
      <w:r>
        <w:rPr>
          <w:rFonts w:hint="eastAsia" w:ascii="宋体" w:hAnsi="宋体" w:eastAsia="宋体" w:cs="宋体"/>
          <w:b/>
          <w:bCs w:val="0"/>
          <w:szCs w:val="21"/>
          <w:lang w:val="en-US" w:eastAsia="zh-CN"/>
        </w:rPr>
        <w:t>4.3 机器学习应用趋势</w:t>
      </w:r>
    </w:p>
    <w:p w14:paraId="4464EC11">
      <w:pPr>
        <w:autoSpaceDE w:val="0"/>
        <w:autoSpaceDN w:val="0"/>
        <w:spacing w:before="156" w:beforeLines="50" w:line="360" w:lineRule="auto"/>
        <w:ind w:firstLine="420" w:firstLineChars="200"/>
        <w:rPr>
          <w:rFonts w:hint="default"/>
          <w:b w:val="0"/>
          <w:bCs/>
          <w:szCs w:val="21"/>
          <w:lang w:val="en-US" w:eastAsia="zh-CN"/>
        </w:rPr>
      </w:pPr>
      <w:r>
        <w:rPr>
          <w:rFonts w:hint="eastAsia"/>
          <w:b w:val="0"/>
          <w:bCs/>
          <w:szCs w:val="21"/>
          <w:lang w:val="en-US" w:eastAsia="zh-CN"/>
        </w:rPr>
        <w:t>结合当前的社会现实，我深刻感受到，人类的日常生活以及离不开智能技术的辅助。未来的智能技术将不仅仅追求算力的突破，更将致力于提升人类的生活质量，实现真正的“科技向善”。目前，机器学习已经渗透进人类生活的方方面面：</w:t>
      </w:r>
    </w:p>
    <w:p w14:paraId="22453A9A">
      <w:pPr>
        <w:autoSpaceDE w:val="0"/>
        <w:autoSpaceDN w:val="0"/>
        <w:spacing w:before="156" w:beforeLines="50" w:line="360" w:lineRule="auto"/>
        <w:ind w:firstLine="420" w:firstLineChars="200"/>
        <w:rPr>
          <w:rFonts w:hint="eastAsia"/>
          <w:b w:val="0"/>
          <w:bCs/>
          <w:szCs w:val="21"/>
          <w:lang w:val="en-US" w:eastAsia="zh-CN"/>
        </w:rPr>
      </w:pPr>
      <w:r>
        <w:rPr>
          <w:rFonts w:hint="eastAsia"/>
          <w:b w:val="0"/>
          <w:bCs/>
          <w:szCs w:val="21"/>
          <w:lang w:val="en-US" w:eastAsia="zh-CN"/>
        </w:rPr>
        <w:t>个性化推荐系统：当我们打开购物软件或短视频平台时，背后的推荐算法（Recommendation Systems）正在利用机器学习技术分析我们的历史行为与偏好。它帮助我们在海量信息中快速筛选出感兴趣的内容，极大地降低了信息检索的成本，提升了生活效率。</w:t>
      </w:r>
    </w:p>
    <w:p w14:paraId="5EEE4FA5">
      <w:pPr>
        <w:autoSpaceDE w:val="0"/>
        <w:autoSpaceDN w:val="0"/>
        <w:spacing w:before="156" w:beforeLines="50" w:line="360" w:lineRule="auto"/>
        <w:ind w:firstLine="420" w:firstLineChars="200"/>
        <w:rPr>
          <w:rFonts w:hint="eastAsia"/>
          <w:b w:val="0"/>
          <w:bCs/>
          <w:szCs w:val="21"/>
          <w:lang w:val="en-US" w:eastAsia="zh-CN"/>
        </w:rPr>
      </w:pPr>
      <w:r>
        <w:rPr>
          <w:rFonts w:hint="eastAsia"/>
          <w:b w:val="0"/>
          <w:bCs/>
          <w:szCs w:val="21"/>
          <w:lang w:val="en-US" w:eastAsia="zh-CN"/>
        </w:rPr>
        <w:t>智能语音与交互：从手机里的智能助手（如 Siri、小爱同学）到智能家居系统，自然语言处理（NLP）技术让机器能够“听懂”人类的指令。未来的智能家居将不再是简单的遥控，而是通过感知用户的习惯自动调节环境（如温度、灯光），提供更加人性化的居住体验。</w:t>
      </w:r>
    </w:p>
    <w:p w14:paraId="79770A29">
      <w:pPr>
        <w:autoSpaceDE w:val="0"/>
        <w:autoSpaceDN w:val="0"/>
        <w:spacing w:before="156" w:beforeLines="50" w:line="360" w:lineRule="auto"/>
        <w:ind w:firstLine="420" w:firstLineChars="200"/>
        <w:rPr>
          <w:rFonts w:hint="eastAsia"/>
          <w:b w:val="0"/>
          <w:bCs/>
          <w:szCs w:val="21"/>
          <w:lang w:val="en-US" w:eastAsia="zh-CN"/>
        </w:rPr>
      </w:pPr>
      <w:r>
        <w:rPr>
          <w:rFonts w:hint="eastAsia"/>
          <w:b w:val="0"/>
          <w:bCs/>
          <w:szCs w:val="21"/>
          <w:lang w:val="en-US" w:eastAsia="zh-CN"/>
        </w:rPr>
        <w:t>自动驾驶辅助：在出行领域，计算机视觉技术正在让汽车变得更加智能。目前的 L2+ 级辅助驾驶功能已经能够实现车道保持、自适应巡航，有效降低了驾驶疲劳与交通事故的发生率。</w:t>
      </w:r>
    </w:p>
    <w:p w14:paraId="56EF73D1">
      <w:pPr>
        <w:autoSpaceDE w:val="0"/>
        <w:autoSpaceDN w:val="0"/>
        <w:spacing w:before="156" w:beforeLines="50" w:line="360" w:lineRule="auto"/>
        <w:ind w:firstLine="420" w:firstLineChars="200"/>
        <w:rPr>
          <w:rFonts w:hint="eastAsia"/>
          <w:b w:val="0"/>
          <w:bCs/>
          <w:szCs w:val="21"/>
          <w:lang w:val="en-US" w:eastAsia="zh-CN"/>
        </w:rPr>
      </w:pPr>
      <w:r>
        <w:rPr>
          <w:rFonts w:hint="eastAsia"/>
          <w:b w:val="0"/>
          <w:bCs/>
          <w:szCs w:val="21"/>
          <w:lang w:val="en-US" w:eastAsia="zh-CN"/>
        </w:rPr>
        <w:t>同时，以 ChatGPT 为代表的生成式大模型（Generative AI）的兴起，标志着人工智能从“感知”走向了“生成”。在我们的日常学习与工作中，AI 正在成为最得力的工具。它不仅能帮助我们快速梳理文献、润色邮件、编写代码，还能在创意枯竭时提供灵感。这种人机协作的模式并没有取代人类，而是赋予了我们更强大的信息处理能力与创造力，让我们能够将精力集中在更具价值的逻辑思考与决策上。</w:t>
      </w:r>
    </w:p>
    <w:p w14:paraId="105846D2">
      <w:pPr>
        <w:pStyle w:val="10"/>
        <w:numPr>
          <w:ilvl w:val="0"/>
          <w:numId w:val="1"/>
        </w:numPr>
        <w:autoSpaceDE w:val="0"/>
        <w:autoSpaceDN w:val="0"/>
        <w:spacing w:before="156" w:beforeLines="50" w:line="360" w:lineRule="auto"/>
        <w:ind w:firstLineChars="0"/>
        <w:rPr>
          <w:rFonts w:eastAsia="黑体"/>
          <w:b/>
          <w:sz w:val="28"/>
          <w:szCs w:val="28"/>
        </w:rPr>
      </w:pPr>
      <w:r>
        <w:rPr>
          <w:rFonts w:hint="eastAsia" w:eastAsia="黑体"/>
          <w:b/>
          <w:sz w:val="28"/>
          <w:szCs w:val="28"/>
          <w:lang w:val="en-US" w:eastAsia="zh-CN"/>
        </w:rPr>
        <w:t>结语与体会</w:t>
      </w:r>
    </w:p>
    <w:p w14:paraId="1D0C1F4B">
      <w:pPr>
        <w:autoSpaceDE w:val="0"/>
        <w:autoSpaceDN w:val="0"/>
        <w:spacing w:before="156" w:beforeLines="50" w:line="360" w:lineRule="auto"/>
        <w:ind w:firstLine="420" w:firstLineChars="200"/>
        <w:jc w:val="left"/>
        <w:rPr>
          <w:rFonts w:hint="eastAsia"/>
          <w:b w:val="0"/>
          <w:bCs/>
          <w:szCs w:val="21"/>
          <w:lang w:val="en-US" w:eastAsia="zh-CN"/>
        </w:rPr>
      </w:pPr>
      <w:r>
        <w:rPr>
          <w:rFonts w:hint="eastAsia"/>
          <w:b w:val="0"/>
          <w:bCs/>
          <w:szCs w:val="21"/>
          <w:lang w:val="en-US" w:eastAsia="zh-CN"/>
        </w:rPr>
        <w:t>通过本学期《专业前沿讲座》的学习，我完成了从人工智能基础概念到机器人工程前沿应用，再到机器学习赋能科学发现的知识图谱构建。课程讲授的多智能体协同、大规模全局优化、工业互联网信息安全以及机器学习科学应用等模块，并非孤立的技术点，而是构成智能系统的有机整体。我深刻体会到，现代智能科学正朝着“群体化、复杂化、落地化”演进：多智能体解决了感知广度问题，分解优化策略突破了计算维度限制，而工业互联网与信息安全则保障了技术的稳健落地。这种从系统工程高度审视技术脉络的宏观视角，不仅极大增强了我的专业学习兴趣，更让我对未来的科研方向与职业规范有了清晰认识。我认识到，单纯的算法优化已遭遇边际效应递减，真正的创新往往源于“AI+X”的跨学科交叉融合。无论是利用深度学习加速新材料研发，还是解决复杂的物流调度，都要求我们具备开阔的国际视野，打破学科壁垒，将智能技术作为解决国计民生核心难题的通用工具。同时，技术是把双刃剑，强大的算力必须配合正确的价值观。面对全球老龄化等严峻挑战，融合机器学习的智慧医疗与养老系统虽能解决社会痛点，但其底线必须建立在安全可控之上。作为未来的工程师，我们既要利用先进算法实现精准筛查与情感陪伴，更要时刻警惕隐私泄露与算法歧视等风险，坚定推动“负责任的人工智能”建设，确保技术在严守伦理规范的前提下真正赋能人类的美好生活，让科技的光辉温暖社会的每一个角落。</w:t>
      </w:r>
    </w:p>
    <w:p w14:paraId="3230B6AA">
      <w:pPr>
        <w:rPr>
          <w:rFonts w:hint="eastAsia" w:ascii="黑体" w:hAnsi="黑体" w:eastAsia="黑体"/>
          <w:b/>
          <w:bCs w:val="0"/>
          <w:kern w:val="0"/>
          <w:sz w:val="20"/>
          <w:szCs w:val="20"/>
          <w:lang w:val="en-US" w:eastAsia="zh-CN"/>
        </w:rPr>
      </w:pPr>
      <w:r>
        <w:rPr>
          <w:rFonts w:hint="eastAsia" w:ascii="黑体" w:hAnsi="黑体" w:eastAsia="黑体"/>
          <w:b/>
          <w:bCs w:val="0"/>
          <w:kern w:val="0"/>
          <w:sz w:val="20"/>
          <w:szCs w:val="20"/>
          <w:lang w:val="en-US" w:eastAsia="zh-CN"/>
        </w:rPr>
        <w:br w:type="page"/>
      </w:r>
    </w:p>
    <w:p w14:paraId="06795C17">
      <w:pPr>
        <w:autoSpaceDE w:val="0"/>
        <w:autoSpaceDN w:val="0"/>
        <w:spacing w:before="156" w:beforeLines="50" w:line="360" w:lineRule="auto"/>
        <w:jc w:val="left"/>
        <w:rPr>
          <w:rFonts w:hint="eastAsia" w:ascii="黑体" w:hAnsi="黑体" w:eastAsia="黑体"/>
          <w:b/>
          <w:bCs w:val="0"/>
          <w:kern w:val="0"/>
          <w:sz w:val="20"/>
          <w:szCs w:val="20"/>
          <w:lang w:val="en-US" w:eastAsia="zh-CN"/>
        </w:rPr>
      </w:pPr>
      <w:r>
        <w:rPr>
          <w:rFonts w:hint="eastAsia" w:ascii="黑体" w:hAnsi="黑体" w:eastAsia="黑体"/>
          <w:b/>
          <w:bCs w:val="0"/>
          <w:kern w:val="0"/>
          <w:sz w:val="20"/>
          <w:szCs w:val="20"/>
          <w:lang w:val="en-US" w:eastAsia="zh-CN"/>
        </w:rPr>
        <w:t>参考文献：</w:t>
      </w:r>
    </w:p>
    <w:p w14:paraId="5C5F1797">
      <w:pPr>
        <w:autoSpaceDE w:val="0"/>
        <w:autoSpaceDN w:val="0"/>
        <w:adjustRightInd w:val="0"/>
        <w:ind w:left="360" w:hanging="360" w:hangingChars="200"/>
        <w:rPr>
          <w:rFonts w:hint="eastAsia" w:eastAsia="宋体"/>
          <w:sz w:val="18"/>
          <w:szCs w:val="18"/>
          <w:shd w:val="clear" w:color="auto" w:fill="FFFFFF"/>
          <w:lang w:val="en-US" w:eastAsia="zh-CN"/>
        </w:rPr>
      </w:pPr>
      <w:r>
        <w:rPr>
          <w:rFonts w:hint="eastAsia" w:eastAsia="宋体"/>
          <w:sz w:val="18"/>
          <w:szCs w:val="18"/>
          <w:shd w:val="clear" w:color="auto" w:fill="FFFFFF"/>
          <w:lang w:val="en-US" w:eastAsia="zh-CN"/>
        </w:rPr>
        <w:t>[1] K. Zhang, Z. Yang, and T. Başar, “Multi-agent reinforcement learning: A selective overview of theories and algorithms,” IEEE Transactions on Automatic Control, vol. 66, no. 12, pp. 5690–5708, 2021.</w:t>
      </w:r>
    </w:p>
    <w:p w14:paraId="1BB9028E">
      <w:pPr>
        <w:autoSpaceDE w:val="0"/>
        <w:autoSpaceDN w:val="0"/>
        <w:adjustRightInd w:val="0"/>
        <w:ind w:left="360" w:hanging="360" w:hangingChars="200"/>
        <w:rPr>
          <w:rFonts w:hint="eastAsia" w:eastAsia="宋体"/>
          <w:sz w:val="18"/>
          <w:szCs w:val="18"/>
          <w:shd w:val="clear" w:color="auto" w:fill="FFFFFF"/>
          <w:lang w:val="en-US" w:eastAsia="zh-CN"/>
        </w:rPr>
      </w:pPr>
    </w:p>
    <w:p w14:paraId="1E4CD891">
      <w:pPr>
        <w:autoSpaceDE w:val="0"/>
        <w:autoSpaceDN w:val="0"/>
        <w:adjustRightInd w:val="0"/>
        <w:ind w:left="360" w:hanging="360" w:hangingChars="200"/>
        <w:rPr>
          <w:rFonts w:hint="eastAsia" w:eastAsia="宋体"/>
          <w:sz w:val="18"/>
          <w:szCs w:val="18"/>
          <w:shd w:val="clear" w:color="auto" w:fill="FFFFFF"/>
          <w:lang w:val="en-US" w:eastAsia="zh-CN"/>
        </w:rPr>
      </w:pPr>
      <w:r>
        <w:rPr>
          <w:rFonts w:hint="eastAsia" w:eastAsia="宋体"/>
          <w:sz w:val="18"/>
          <w:szCs w:val="18"/>
          <w:shd w:val="clear" w:color="auto" w:fill="FFFFFF"/>
          <w:lang w:val="en-US" w:eastAsia="zh-CN"/>
        </w:rPr>
        <w:t>[2] X. Li, K. Tang, M. N. Omidvar, Z. Yang, and K. Qin, “A survey on cooperative co-evolutionary algorithms,” IEEE Transactions on Evolutionary Computation, vol. 17, no. 4, pp. 471–496, 2013.</w:t>
      </w:r>
    </w:p>
    <w:p w14:paraId="7A0EBDFC">
      <w:pPr>
        <w:autoSpaceDE w:val="0"/>
        <w:autoSpaceDN w:val="0"/>
        <w:adjustRightInd w:val="0"/>
        <w:ind w:left="360" w:hanging="360" w:hangingChars="200"/>
        <w:rPr>
          <w:rFonts w:hint="eastAsia" w:eastAsia="宋体"/>
          <w:sz w:val="18"/>
          <w:szCs w:val="18"/>
          <w:shd w:val="clear" w:color="auto" w:fill="FFFFFF"/>
          <w:lang w:val="en-US" w:eastAsia="zh-CN"/>
        </w:rPr>
      </w:pPr>
    </w:p>
    <w:p w14:paraId="5C681B26">
      <w:pPr>
        <w:autoSpaceDE w:val="0"/>
        <w:autoSpaceDN w:val="0"/>
        <w:adjustRightInd w:val="0"/>
        <w:ind w:left="360" w:hanging="360" w:hangingChars="200"/>
        <w:rPr>
          <w:rFonts w:hint="eastAsia" w:eastAsia="宋体"/>
          <w:sz w:val="18"/>
          <w:szCs w:val="18"/>
          <w:shd w:val="clear" w:color="auto" w:fill="FFFFFF"/>
          <w:lang w:val="en-US" w:eastAsia="zh-CN"/>
        </w:rPr>
      </w:pPr>
      <w:r>
        <w:rPr>
          <w:rFonts w:hint="eastAsia" w:eastAsia="宋体"/>
          <w:sz w:val="18"/>
          <w:szCs w:val="18"/>
          <w:shd w:val="clear" w:color="auto" w:fill="FFFFFF"/>
          <w:lang w:val="en-US" w:eastAsia="zh-CN"/>
        </w:rPr>
        <w:t>[3] A.-R. Sadeghi, C. Wachsmann, and M. Waidner, “Security and privacy in industrial internet of things: Current status and potential future challenges,” ACM Transactions on Embedded Computing Systems, vol. 14, no. 4, pp. 76:1–76:27, 2015.</w:t>
      </w:r>
    </w:p>
    <w:p w14:paraId="3449483B">
      <w:pPr>
        <w:autoSpaceDE w:val="0"/>
        <w:autoSpaceDN w:val="0"/>
        <w:adjustRightInd w:val="0"/>
        <w:ind w:left="360" w:hanging="360" w:hangingChars="200"/>
        <w:rPr>
          <w:rFonts w:hint="eastAsia" w:eastAsia="宋体"/>
          <w:sz w:val="18"/>
          <w:szCs w:val="18"/>
          <w:shd w:val="clear" w:color="auto" w:fill="FFFFFF"/>
          <w:lang w:val="en-US" w:eastAsia="zh-CN"/>
        </w:rPr>
      </w:pPr>
    </w:p>
    <w:p w14:paraId="189CB67B">
      <w:pPr>
        <w:autoSpaceDE w:val="0"/>
        <w:autoSpaceDN w:val="0"/>
        <w:adjustRightInd w:val="0"/>
        <w:ind w:left="360" w:hanging="360" w:hangingChars="200"/>
        <w:rPr>
          <w:rFonts w:hint="eastAsia" w:eastAsia="宋体"/>
          <w:sz w:val="18"/>
          <w:szCs w:val="18"/>
          <w:shd w:val="clear" w:color="auto" w:fill="FFFFFF"/>
          <w:lang w:val="en-US" w:eastAsia="zh-CN"/>
        </w:rPr>
      </w:pPr>
      <w:r>
        <w:rPr>
          <w:rFonts w:hint="eastAsia" w:eastAsia="宋体"/>
          <w:sz w:val="18"/>
          <w:szCs w:val="18"/>
          <w:shd w:val="clear" w:color="auto" w:fill="FFFFFF"/>
          <w:lang w:val="en-US" w:eastAsia="zh-CN"/>
        </w:rPr>
        <w:t>[4] C. Cortes and V. Vapnik, “Support-vector networks,” Machine Learning, vol. 20, no. 3, pp. 273–297, 1995.</w:t>
      </w:r>
    </w:p>
    <w:p w14:paraId="454657FC">
      <w:pPr>
        <w:autoSpaceDE w:val="0"/>
        <w:autoSpaceDN w:val="0"/>
        <w:adjustRightInd w:val="0"/>
        <w:ind w:left="360" w:hanging="360" w:hangingChars="200"/>
        <w:rPr>
          <w:rFonts w:hint="eastAsia" w:eastAsia="宋体"/>
          <w:sz w:val="18"/>
          <w:szCs w:val="18"/>
          <w:shd w:val="clear" w:color="auto" w:fill="FFFFFF"/>
          <w:lang w:val="en-US" w:eastAsia="zh-CN"/>
        </w:rPr>
      </w:pPr>
    </w:p>
    <w:p w14:paraId="692950B0">
      <w:pPr>
        <w:autoSpaceDE w:val="0"/>
        <w:autoSpaceDN w:val="0"/>
        <w:adjustRightInd w:val="0"/>
        <w:ind w:left="360" w:hanging="360" w:hangingChars="200"/>
        <w:rPr>
          <w:rFonts w:hint="eastAsia" w:eastAsia="宋体"/>
          <w:sz w:val="18"/>
          <w:szCs w:val="18"/>
          <w:shd w:val="clear" w:color="auto" w:fill="FFFFFF"/>
          <w:lang w:val="en-US" w:eastAsia="zh-CN"/>
        </w:rPr>
      </w:pPr>
      <w:r>
        <w:rPr>
          <w:rFonts w:hint="eastAsia" w:eastAsia="宋体"/>
          <w:sz w:val="18"/>
          <w:szCs w:val="18"/>
          <w:shd w:val="clear" w:color="auto" w:fill="FFFFFF"/>
          <w:lang w:val="en-US" w:eastAsia="zh-CN"/>
        </w:rPr>
        <w:t>[5] G. Biau, “Analysis of a random forests model,” Journal of Machine Learning Research, vol. 13, pp. 1063–1095, 2012.</w:t>
      </w:r>
    </w:p>
    <w:p w14:paraId="0CA1E006">
      <w:pPr>
        <w:autoSpaceDE w:val="0"/>
        <w:autoSpaceDN w:val="0"/>
        <w:adjustRightInd w:val="0"/>
        <w:ind w:left="360" w:hanging="360" w:hangingChars="200"/>
        <w:rPr>
          <w:rFonts w:hint="eastAsia" w:eastAsia="宋体"/>
          <w:sz w:val="18"/>
          <w:szCs w:val="18"/>
          <w:shd w:val="clear" w:color="auto" w:fill="FFFFFF"/>
          <w:lang w:val="en-US" w:eastAsia="zh-CN"/>
        </w:rPr>
      </w:pPr>
    </w:p>
    <w:p w14:paraId="460ED8D5">
      <w:pPr>
        <w:autoSpaceDE w:val="0"/>
        <w:autoSpaceDN w:val="0"/>
        <w:adjustRightInd w:val="0"/>
        <w:ind w:left="360" w:hanging="360" w:hangingChars="200"/>
        <w:rPr>
          <w:rFonts w:hint="eastAsia" w:eastAsia="宋体"/>
          <w:sz w:val="18"/>
          <w:szCs w:val="18"/>
          <w:shd w:val="clear" w:color="auto" w:fill="FFFFFF"/>
          <w:lang w:val="en-US" w:eastAsia="zh-CN"/>
        </w:rPr>
      </w:pPr>
      <w:r>
        <w:rPr>
          <w:rFonts w:hint="eastAsia" w:eastAsia="宋体"/>
          <w:sz w:val="18"/>
          <w:szCs w:val="18"/>
          <w:shd w:val="clear" w:color="auto" w:fill="FFFFFF"/>
          <w:lang w:val="en-US" w:eastAsia="zh-CN"/>
        </w:rPr>
        <w:t>[6] Y. LeCun, Y. Bengio, and G. Hinton, “Deep learning,” Nature, vol. 521, no. 7553, pp. 436–444, 2015.</w:t>
      </w:r>
    </w:p>
    <w:p w14:paraId="7EEE48DC">
      <w:pPr>
        <w:autoSpaceDE w:val="0"/>
        <w:autoSpaceDN w:val="0"/>
        <w:adjustRightInd w:val="0"/>
        <w:ind w:left="360" w:hanging="360" w:hangingChars="200"/>
        <w:rPr>
          <w:rFonts w:hint="eastAsia" w:eastAsia="宋体"/>
          <w:sz w:val="18"/>
          <w:szCs w:val="18"/>
          <w:shd w:val="clear" w:color="auto" w:fill="FFFFFF"/>
          <w:lang w:val="en-US" w:eastAsia="zh-CN"/>
        </w:rPr>
      </w:pPr>
    </w:p>
    <w:p w14:paraId="52A712CA">
      <w:pPr>
        <w:autoSpaceDE w:val="0"/>
        <w:autoSpaceDN w:val="0"/>
        <w:adjustRightInd w:val="0"/>
        <w:ind w:left="360" w:hanging="360" w:hangingChars="200"/>
        <w:rPr>
          <w:rFonts w:eastAsia="黑体"/>
          <w:bCs/>
          <w:sz w:val="24"/>
        </w:rPr>
      </w:pPr>
      <w:r>
        <w:rPr>
          <w:rFonts w:hint="eastAsia" w:eastAsia="宋体"/>
          <w:sz w:val="18"/>
          <w:szCs w:val="18"/>
          <w:shd w:val="clear" w:color="auto" w:fill="FFFFFF"/>
          <w:lang w:val="en-US" w:eastAsia="zh-CN"/>
        </w:rPr>
        <w:t>[7] H. Wang, T. Fu, Y. Du, W. Gao, K. Huang, Z. Liu, P. Chandak, S. Liu, P. Van Katwyk, A. Deac, A. Anandkumar, K. Bergen, C. P. Gomes, S. Ho, P. Kohli, J. Lasenby, J. Leskovec, T. Liu, A. Manrai, D. Marks, B. Ramsundar, L. Song, J. Sun, J. Tang, P. Veličković, M. Zitnik, and M. Zitnik, “Scientific discovery in the age of artificial intelligence,” Nature, vol. 620, no. 7972, pp. 47–60, 2023.</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仿宋_GB2312">
    <w:altName w:val="方正仿宋_GBK"/>
    <w:panose1 w:val="00000000000000000000"/>
    <w:charset w:val="86"/>
    <w:family w:val="modern"/>
    <w:pitch w:val="default"/>
    <w:sig w:usb0="00000000" w:usb1="00000000" w:usb2="00000010" w:usb3="00000000" w:csb0="00040000" w:csb1="00000000"/>
  </w:font>
  <w:font w:name="方正仿宋_GBK">
    <w:panose1 w:val="02000000000000000000"/>
    <w:charset w:val="86"/>
    <w:family w:val="auto"/>
    <w:pitch w:val="default"/>
    <w:sig w:usb0="A00002BF" w:usb1="38CF7CFA" w:usb2="00082016"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3D2572"/>
    <w:multiLevelType w:val="multilevel"/>
    <w:tmpl w:val="0C3D2572"/>
    <w:lvl w:ilvl="0" w:tentative="0">
      <w:start w:val="1"/>
      <w:numFmt w:val="decimal"/>
      <w:lvlText w:val="%1"/>
      <w:lvlJc w:val="left"/>
      <w:pPr>
        <w:ind w:left="360" w:hanging="360"/>
      </w:pPr>
      <w:rPr>
        <w:rFonts w:hint="default" w:ascii="Times New Roman" w:hAnsi="Times New Roman" w:eastAsia="黑体"/>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F52"/>
    <w:rsid w:val="00007468"/>
    <w:rsid w:val="00047A15"/>
    <w:rsid w:val="0005141F"/>
    <w:rsid w:val="00052F7C"/>
    <w:rsid w:val="00056B8B"/>
    <w:rsid w:val="00063F52"/>
    <w:rsid w:val="00091B4B"/>
    <w:rsid w:val="000B3D1C"/>
    <w:rsid w:val="000F71E1"/>
    <w:rsid w:val="0010483E"/>
    <w:rsid w:val="001A1E27"/>
    <w:rsid w:val="001B0463"/>
    <w:rsid w:val="001F77F5"/>
    <w:rsid w:val="00252664"/>
    <w:rsid w:val="00260FF1"/>
    <w:rsid w:val="00265370"/>
    <w:rsid w:val="002B5CEA"/>
    <w:rsid w:val="002C70C7"/>
    <w:rsid w:val="003201F1"/>
    <w:rsid w:val="003E7335"/>
    <w:rsid w:val="00406CC4"/>
    <w:rsid w:val="0040751B"/>
    <w:rsid w:val="004439E6"/>
    <w:rsid w:val="00445C18"/>
    <w:rsid w:val="00453BA4"/>
    <w:rsid w:val="004B0167"/>
    <w:rsid w:val="004F11AF"/>
    <w:rsid w:val="00504C5D"/>
    <w:rsid w:val="00524F09"/>
    <w:rsid w:val="005333DE"/>
    <w:rsid w:val="00554745"/>
    <w:rsid w:val="0055490D"/>
    <w:rsid w:val="00562E4E"/>
    <w:rsid w:val="005F64CF"/>
    <w:rsid w:val="006214EE"/>
    <w:rsid w:val="0068013E"/>
    <w:rsid w:val="006C6B7F"/>
    <w:rsid w:val="007047B8"/>
    <w:rsid w:val="00722081"/>
    <w:rsid w:val="007240F9"/>
    <w:rsid w:val="007306CC"/>
    <w:rsid w:val="00755A88"/>
    <w:rsid w:val="007768ED"/>
    <w:rsid w:val="0078750C"/>
    <w:rsid w:val="007B4F91"/>
    <w:rsid w:val="007C52E2"/>
    <w:rsid w:val="007D769E"/>
    <w:rsid w:val="007F0509"/>
    <w:rsid w:val="00863B06"/>
    <w:rsid w:val="00864F63"/>
    <w:rsid w:val="0089442E"/>
    <w:rsid w:val="00902F35"/>
    <w:rsid w:val="0091460D"/>
    <w:rsid w:val="009A303C"/>
    <w:rsid w:val="009D22B8"/>
    <w:rsid w:val="009F1D14"/>
    <w:rsid w:val="00A10CA0"/>
    <w:rsid w:val="00A14C3F"/>
    <w:rsid w:val="00A20163"/>
    <w:rsid w:val="00A50989"/>
    <w:rsid w:val="00A839CB"/>
    <w:rsid w:val="00A85C92"/>
    <w:rsid w:val="00A92149"/>
    <w:rsid w:val="00AB0852"/>
    <w:rsid w:val="00B5341B"/>
    <w:rsid w:val="00B60F0F"/>
    <w:rsid w:val="00B616A5"/>
    <w:rsid w:val="00B7741A"/>
    <w:rsid w:val="00BA0712"/>
    <w:rsid w:val="00BA0AD3"/>
    <w:rsid w:val="00BE4692"/>
    <w:rsid w:val="00BF2C29"/>
    <w:rsid w:val="00C51B06"/>
    <w:rsid w:val="00C77474"/>
    <w:rsid w:val="00C7749E"/>
    <w:rsid w:val="00C85773"/>
    <w:rsid w:val="00CB54B4"/>
    <w:rsid w:val="00CB6275"/>
    <w:rsid w:val="00CD097B"/>
    <w:rsid w:val="00D6247C"/>
    <w:rsid w:val="00D65D4C"/>
    <w:rsid w:val="00D827D1"/>
    <w:rsid w:val="00D965FF"/>
    <w:rsid w:val="00DA2E56"/>
    <w:rsid w:val="00DA5556"/>
    <w:rsid w:val="00DC3477"/>
    <w:rsid w:val="00DF22A1"/>
    <w:rsid w:val="00DF792F"/>
    <w:rsid w:val="00E04112"/>
    <w:rsid w:val="00E523B9"/>
    <w:rsid w:val="00E81BEA"/>
    <w:rsid w:val="00E90A95"/>
    <w:rsid w:val="00EF7069"/>
    <w:rsid w:val="00F048C7"/>
    <w:rsid w:val="00F22071"/>
    <w:rsid w:val="00F66BFB"/>
    <w:rsid w:val="00FA3E4B"/>
    <w:rsid w:val="00FA6260"/>
    <w:rsid w:val="00FB1D14"/>
    <w:rsid w:val="00FC0F85"/>
    <w:rsid w:val="00FD7FA1"/>
    <w:rsid w:val="00FE68E8"/>
    <w:rsid w:val="00FF2EB3"/>
    <w:rsid w:val="1DFDC09F"/>
    <w:rsid w:val="1EEB158E"/>
    <w:rsid w:val="2FEFAEF8"/>
    <w:rsid w:val="37EE016F"/>
    <w:rsid w:val="3AC6CA8D"/>
    <w:rsid w:val="3F594DBB"/>
    <w:rsid w:val="4EEDDF1E"/>
    <w:rsid w:val="5D2F3DDC"/>
    <w:rsid w:val="675305BE"/>
    <w:rsid w:val="6DFE7A87"/>
    <w:rsid w:val="6FD894A1"/>
    <w:rsid w:val="6FF9E827"/>
    <w:rsid w:val="754D9AA7"/>
    <w:rsid w:val="76EF4EA0"/>
    <w:rsid w:val="7DDFD8A1"/>
    <w:rsid w:val="7DF993FF"/>
    <w:rsid w:val="7FAC9490"/>
    <w:rsid w:val="7FBF5EF5"/>
    <w:rsid w:val="7FDD758C"/>
    <w:rsid w:val="7FFB52AB"/>
    <w:rsid w:val="7FFCE05D"/>
    <w:rsid w:val="B6DA4489"/>
    <w:rsid w:val="B7CF4A3B"/>
    <w:rsid w:val="BBF33630"/>
    <w:rsid w:val="BBF9C468"/>
    <w:rsid w:val="BDCB739E"/>
    <w:rsid w:val="BEFEDAB1"/>
    <w:rsid w:val="BFE58CAD"/>
    <w:rsid w:val="CFFF0732"/>
    <w:rsid w:val="D97E75D0"/>
    <w:rsid w:val="EAB7BECE"/>
    <w:rsid w:val="EAEF5126"/>
    <w:rsid w:val="ED4FBE65"/>
    <w:rsid w:val="EDAF5164"/>
    <w:rsid w:val="EFF2C09A"/>
    <w:rsid w:val="F76F8193"/>
    <w:rsid w:val="F7FF53BC"/>
    <w:rsid w:val="F923C0B5"/>
    <w:rsid w:val="FF3FFB79"/>
    <w:rsid w:val="FF4F6967"/>
    <w:rsid w:val="FF9FF399"/>
    <w:rsid w:val="FFB7D4CB"/>
    <w:rsid w:val="FFCCF9BD"/>
    <w:rsid w:val="FFEE0AAF"/>
    <w:rsid w:val="FFFF9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467886" w:themeColor="hyperlink"/>
      <w:u w:val="single"/>
      <w14:textFill>
        <w14:solidFill>
          <w14:schemeClr w14:val="hlink"/>
        </w14:solidFill>
      </w14:textFill>
    </w:rPr>
  </w:style>
  <w:style w:type="character" w:customStyle="1" w:styleId="8">
    <w:name w:val="页眉 字符"/>
    <w:link w:val="4"/>
    <w:uiPriority w:val="99"/>
    <w:rPr>
      <w:kern w:val="2"/>
      <w:sz w:val="18"/>
      <w:szCs w:val="18"/>
    </w:rPr>
  </w:style>
  <w:style w:type="character" w:customStyle="1" w:styleId="9">
    <w:name w:val="页脚 字符"/>
    <w:link w:val="3"/>
    <w:uiPriority w:val="99"/>
    <w:rPr>
      <w:kern w:val="2"/>
      <w:sz w:val="18"/>
      <w:szCs w:val="18"/>
    </w:rPr>
  </w:style>
  <w:style w:type="paragraph" w:customStyle="1" w:styleId="10">
    <w:name w:val="列出段落1"/>
    <w:basedOn w:val="1"/>
    <w:qFormat/>
    <w:uiPriority w:val="34"/>
    <w:pPr>
      <w:ind w:firstLine="420" w:firstLineChars="200"/>
    </w:pPr>
  </w:style>
  <w:style w:type="paragraph" w:styleId="11">
    <w:name w:val="List Paragraph"/>
    <w:basedOn w:val="1"/>
    <w:qFormat/>
    <w:uiPriority w:val="34"/>
    <w:pPr>
      <w:ind w:firstLine="420" w:firstLineChars="200"/>
    </w:pPr>
  </w:style>
  <w:style w:type="paragraph" w:customStyle="1" w:styleId="12">
    <w:name w:val="Bibliography"/>
    <w:basedOn w:val="1"/>
    <w:next w:val="1"/>
    <w:unhideWhenUsed/>
    <w:uiPriority w:val="37"/>
    <w:pPr>
      <w:tabs>
        <w:tab w:val="left" w:pos="384"/>
      </w:tabs>
      <w:ind w:left="384" w:hanging="384"/>
    </w:pPr>
  </w:style>
  <w:style w:type="character" w:customStyle="1" w:styleId="13">
    <w:name w:val="Unresolved Mention"/>
    <w:basedOn w:val="6"/>
    <w:semiHidden/>
    <w:unhideWhenUsed/>
    <w:uiPriority w:val="99"/>
    <w:rPr>
      <w:color w:val="605E5C"/>
      <w:shd w:val="clear" w:color="auto" w:fill="E1DFDD"/>
    </w:rPr>
  </w:style>
  <w:style w:type="paragraph" w:customStyle="1" w:styleId="14">
    <w:name w:val="公式居中"/>
    <w:basedOn w:val="1"/>
    <w:qFormat/>
    <w:uiPriority w:val="0"/>
    <w:pPr>
      <w:tabs>
        <w:tab w:val="center" w:pos="4620"/>
        <w:tab w:val="right" w:pos="9240"/>
      </w:tabs>
      <w:spacing w:line="312" w:lineRule="auto"/>
    </w:pPr>
    <w:rPr>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2F179185-4F6A-4BC9-9224-9024CF4808F5}">
  <ds:schemaRefs/>
</ds:datastoreItem>
</file>

<file path=docProps/app.xml><?xml version="1.0" encoding="utf-8"?>
<Properties xmlns="http://schemas.openxmlformats.org/officeDocument/2006/extended-properties" xmlns:vt="http://schemas.openxmlformats.org/officeDocument/2006/docPropsVTypes">
  <Template>Normal.dotm</Template>
  <Company>jwc</Company>
  <Pages>10</Pages>
  <Words>33302</Words>
  <Characters>44958</Characters>
  <Lines>1550</Lines>
  <Paragraphs>1185</Paragraphs>
  <TotalTime>43</TotalTime>
  <ScaleCrop>false</ScaleCrop>
  <LinksUpToDate>false</LinksUpToDate>
  <CharactersWithSpaces>77075</CharactersWithSpaces>
  <Application>WPS Office_12.1.23540.23540_F1E327BC-269C-435d-A152-05C5408002CA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2025-11-09T01:50:00Z</dcterms:created>
  <dc:creator>Administrator</dc:creator>
  <cp:lastModifiedBy>十</cp:lastModifiedBy>
  <cp:lastPrinted>2013-10-18T19:58:00Z</cp:lastPrinted>
  <dcterms:modified xsi:type="dcterms:W3CDTF">2025-11-22T17:45:45Z</dcterms:modified>
  <dc:title>华东理工大学20__—20__学年第__学期</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id="dhCRdjBh"/&gt;&lt;style id="http://www.zotero.org/styles/ieee" locale="zh-CN"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KSOProductBuildVer">
    <vt:lpwstr>2052-12.1.23540.23540</vt:lpwstr>
  </property>
  <property fmtid="{D5CDD505-2E9C-101B-9397-08002B2CF9AE}" pid="5" name="ICV">
    <vt:lpwstr>FC0592610DEB62B3AD3521697A678471_43</vt:lpwstr>
  </property>
</Properties>
</file>